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4A0F8" w14:textId="7C518C40" w:rsidR="00F237D3" w:rsidRDefault="00F237D3" w:rsidP="00F237D3">
      <w:pPr>
        <w:widowControl w:val="0"/>
        <w:tabs>
          <w:tab w:val="right" w:pos="9639"/>
        </w:tabs>
        <w:spacing w:after="0"/>
        <w:rPr>
          <w:rFonts w:ascii="Arial" w:hAnsi="Arial"/>
          <w:b/>
          <w:bCs/>
          <w:i/>
          <w:sz w:val="24"/>
          <w:szCs w:val="24"/>
        </w:rPr>
      </w:pPr>
      <w:r>
        <w:rPr>
          <w:rFonts w:ascii="Arial" w:hAnsi="Arial"/>
          <w:b/>
          <w:bCs/>
          <w:sz w:val="24"/>
          <w:szCs w:val="24"/>
        </w:rPr>
        <w:t>3GPP TSG-RAN WG2 Meeting #108</w:t>
      </w:r>
      <w:r>
        <w:rPr>
          <w:rFonts w:ascii="Arial" w:hAnsi="Arial"/>
          <w:b/>
          <w:bCs/>
          <w:sz w:val="24"/>
          <w:szCs w:val="24"/>
        </w:rPr>
        <w:tab/>
      </w:r>
      <w:r w:rsidR="003E2C15" w:rsidRPr="003E2C15">
        <w:rPr>
          <w:rFonts w:ascii="Arial" w:hAnsi="Arial"/>
          <w:b/>
          <w:bCs/>
          <w:sz w:val="24"/>
          <w:szCs w:val="24"/>
        </w:rPr>
        <w:t>R2-1915827</w:t>
      </w:r>
      <w:bookmarkStart w:id="0" w:name="_GoBack"/>
      <w:bookmarkEnd w:id="0"/>
    </w:p>
    <w:p w14:paraId="0D300AFC" w14:textId="5D602C42" w:rsidR="00F237D3" w:rsidRDefault="00F237D3" w:rsidP="00F237D3">
      <w:pPr>
        <w:widowControl w:val="0"/>
        <w:tabs>
          <w:tab w:val="left" w:pos="1701"/>
          <w:tab w:val="right" w:pos="9923"/>
        </w:tabs>
        <w:spacing w:after="0"/>
        <w:rPr>
          <w:rFonts w:ascii="Arial" w:eastAsia="MS Mincho" w:hAnsi="Arial"/>
          <w:b/>
          <w:sz w:val="24"/>
          <w:szCs w:val="24"/>
          <w:lang w:eastAsia="x-none"/>
        </w:rPr>
      </w:pPr>
      <w:r>
        <w:rPr>
          <w:rFonts w:ascii="Arial" w:hAnsi="Arial"/>
          <w:b/>
          <w:bCs/>
          <w:noProof/>
          <w:sz w:val="24"/>
          <w:szCs w:val="24"/>
          <w:lang w:val="sv-SE" w:eastAsia="zh-CN"/>
        </w:rPr>
        <w:t>Reno, USA, 18 – 22 November 2019</w:t>
      </w:r>
      <w:r>
        <w:rPr>
          <w:rFonts w:ascii="Arial" w:eastAsia="MS Mincho" w:hAnsi="Arial"/>
          <w:b/>
          <w:sz w:val="24"/>
          <w:szCs w:val="24"/>
          <w:lang w:val="sv-SE" w:eastAsia="x-none"/>
        </w:rPr>
        <w:t xml:space="preserve"> </w:t>
      </w:r>
      <w:r>
        <w:rPr>
          <w:rFonts w:ascii="Arial" w:eastAsia="MS Mincho" w:hAnsi="Arial"/>
          <w:b/>
          <w:sz w:val="24"/>
          <w:szCs w:val="24"/>
          <w:lang w:val="sv-SE" w:eastAsia="x-none"/>
        </w:rPr>
        <w:tab/>
      </w:r>
      <w:r w:rsidR="001876F1">
        <w:rPr>
          <w:rFonts w:ascii="Arial" w:eastAsia="MS Mincho" w:hAnsi="Arial"/>
          <w:b/>
          <w:sz w:val="24"/>
          <w:szCs w:val="24"/>
          <w:lang w:val="sv-SE" w:eastAsia="x-none"/>
        </w:rPr>
        <w:t xml:space="preserve"> </w:t>
      </w:r>
    </w:p>
    <w:p w14:paraId="403CB9C0" w14:textId="77777777" w:rsidR="00A209D6" w:rsidRPr="00B266B0" w:rsidRDefault="00A209D6" w:rsidP="00A209D6">
      <w:pPr>
        <w:pStyle w:val="Header"/>
        <w:rPr>
          <w:bCs/>
          <w:noProof w:val="0"/>
          <w:sz w:val="24"/>
        </w:rPr>
      </w:pPr>
    </w:p>
    <w:p w14:paraId="74AEDB1B" w14:textId="2F18F20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97BEC" w:rsidRPr="00B63AB6">
        <w:rPr>
          <w:rFonts w:cs="Arial"/>
          <w:b/>
          <w:bCs/>
          <w:sz w:val="24"/>
          <w:lang w:eastAsia="ja-JP"/>
        </w:rPr>
        <w:t>6.7.2.</w:t>
      </w:r>
      <w:r w:rsidR="000412CD" w:rsidRPr="00B63AB6">
        <w:rPr>
          <w:rFonts w:cs="Arial"/>
          <w:b/>
          <w:bCs/>
          <w:sz w:val="24"/>
          <w:lang w:eastAsia="ja-JP"/>
        </w:rPr>
        <w:t>2.</w:t>
      </w:r>
      <w:r w:rsidR="00D97BEC" w:rsidRPr="00B63AB6">
        <w:rPr>
          <w:rFonts w:cs="Arial"/>
          <w:b/>
          <w:bCs/>
          <w:sz w:val="24"/>
          <w:lang w:eastAsia="ja-JP"/>
        </w:rPr>
        <w:t>1</w:t>
      </w:r>
    </w:p>
    <w:p w14:paraId="73188B46" w14:textId="68ADDE78"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511979">
        <w:rPr>
          <w:rFonts w:ascii="Arial" w:hAnsi="Arial" w:cs="Arial"/>
          <w:b/>
          <w:bCs/>
          <w:sz w:val="24"/>
        </w:rPr>
        <w:t>Qualcomm Incorporated</w:t>
      </w:r>
    </w:p>
    <w:p w14:paraId="0FA3EF00" w14:textId="40F4718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B1886" w:rsidRPr="004B1886">
        <w:rPr>
          <w:rFonts w:ascii="Arial" w:hAnsi="Arial" w:cs="Arial"/>
          <w:b/>
          <w:bCs/>
          <w:sz w:val="24"/>
        </w:rPr>
        <w:t>Views on SPS collisions and some CG issues</w:t>
      </w:r>
    </w:p>
    <w:p w14:paraId="1F147C23" w14:textId="543D666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96368">
        <w:rPr>
          <w:rFonts w:ascii="Arial" w:hAnsi="Arial" w:cs="Arial"/>
          <w:b/>
          <w:bCs/>
          <w:sz w:val="24"/>
        </w:rPr>
        <w:t>I</w:t>
      </w:r>
      <w:r w:rsidR="00577E87">
        <w:rPr>
          <w:rFonts w:ascii="Arial" w:hAnsi="Arial" w:cs="Arial"/>
          <w:b/>
          <w:bCs/>
          <w:sz w:val="24"/>
        </w:rPr>
        <w:t xml:space="preserve">ndustrial </w:t>
      </w:r>
      <w:r w:rsidR="00F96368">
        <w:rPr>
          <w:rFonts w:ascii="Arial" w:hAnsi="Arial" w:cs="Arial"/>
          <w:b/>
          <w:bCs/>
          <w:sz w:val="24"/>
        </w:rPr>
        <w:t xml:space="preserve">IoT </w:t>
      </w:r>
      <w:r w:rsidR="00577E87">
        <w:rPr>
          <w:rFonts w:ascii="Arial" w:hAnsi="Arial" w:cs="Arial"/>
          <w:b/>
          <w:bCs/>
          <w:sz w:val="24"/>
        </w:rPr>
        <w:t>WI (NR_IIoT)</w:t>
      </w:r>
    </w:p>
    <w:p w14:paraId="6FEB19D6" w14:textId="5DC49CB2"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294B1FC1" w14:textId="2B3E1BE8" w:rsidR="00A209D6" w:rsidRDefault="00A209D6" w:rsidP="00A209D6">
      <w:pPr>
        <w:pStyle w:val="Heading1"/>
      </w:pPr>
      <w:r w:rsidRPr="006E13D1">
        <w:t>1</w:t>
      </w:r>
      <w:r w:rsidRPr="006E13D1">
        <w:tab/>
      </w:r>
      <w:r>
        <w:t>Introduction</w:t>
      </w:r>
    </w:p>
    <w:p w14:paraId="711B68D9" w14:textId="482B9823" w:rsidR="006D37B6" w:rsidRDefault="006D37B6" w:rsidP="00D56874">
      <w:r>
        <w:t>This paper presents our views on the following:</w:t>
      </w:r>
    </w:p>
    <w:p w14:paraId="4B785413" w14:textId="272DECA5" w:rsidR="006D37B6" w:rsidRDefault="006D37B6" w:rsidP="004D2DA0">
      <w:pPr>
        <w:pStyle w:val="ListParagraph"/>
        <w:numPr>
          <w:ilvl w:val="0"/>
          <w:numId w:val="15"/>
        </w:numPr>
      </w:pPr>
      <w:r>
        <w:t>Resolution of SPS collisions</w:t>
      </w:r>
      <w:r w:rsidR="00AF5C49">
        <w:t>,</w:t>
      </w:r>
    </w:p>
    <w:p w14:paraId="3D5B3109" w14:textId="27DC5002" w:rsidR="006D37B6" w:rsidRDefault="006D37B6" w:rsidP="004D2DA0">
      <w:pPr>
        <w:pStyle w:val="ListParagraph"/>
        <w:numPr>
          <w:ilvl w:val="0"/>
          <w:numId w:val="15"/>
        </w:numPr>
      </w:pPr>
      <w:r w:rsidRPr="00F66A9F">
        <w:t>Signalling aspects of LCP restriction enhancements for configured grants</w:t>
      </w:r>
      <w:r w:rsidR="00AF5C49">
        <w:t>,</w:t>
      </w:r>
    </w:p>
    <w:p w14:paraId="3176CFD8" w14:textId="678BFB1D" w:rsidR="006D37B6" w:rsidRDefault="006D37B6" w:rsidP="00D56874">
      <w:pPr>
        <w:pStyle w:val="ListParagraph"/>
        <w:numPr>
          <w:ilvl w:val="0"/>
          <w:numId w:val="15"/>
        </w:numPr>
      </w:pPr>
      <w:r w:rsidRPr="00A931F0">
        <w:t xml:space="preserve">Sharing of HARQ processes </w:t>
      </w:r>
      <w:r>
        <w:t xml:space="preserve">by </w:t>
      </w:r>
      <w:r w:rsidRPr="00A931F0">
        <w:t>multiple CGs</w:t>
      </w:r>
      <w:r w:rsidR="00AF5C49">
        <w:t>.</w:t>
      </w:r>
    </w:p>
    <w:p w14:paraId="28714B0B" w14:textId="7F048B52" w:rsidR="002F7544" w:rsidRDefault="00DE68A8" w:rsidP="0040365C">
      <w:pPr>
        <w:pStyle w:val="Heading1"/>
      </w:pPr>
      <w:r>
        <w:t>2</w:t>
      </w:r>
      <w:r>
        <w:tab/>
      </w:r>
      <w:r w:rsidR="006D37B6">
        <w:t xml:space="preserve">Resolution </w:t>
      </w:r>
      <w:r w:rsidR="000C50CD">
        <w:t>of SPS collisions</w:t>
      </w:r>
    </w:p>
    <w:p w14:paraId="2297039A" w14:textId="6C0895F3" w:rsidR="00DA26E9" w:rsidRDefault="00DA26E9" w:rsidP="00DB6D80">
      <w:r w:rsidRPr="00DA26E9">
        <w:t>Rel-16 allows configuration of multiple SPSs per BWP per serving cell</w:t>
      </w:r>
      <w:r>
        <w:t xml:space="preserve">. Multiples SPSs </w:t>
      </w:r>
      <w:r w:rsidRPr="00DA26E9">
        <w:t xml:space="preserve">could collide (ie, their PDSCHs overlap in time). </w:t>
      </w:r>
      <w:r>
        <w:t>Such SPS collisions can occur if periodicities of SPSs are different. Note that RAN2 is developing sophisticated solutions for CG collisions (ie, collisions of two CG PUSCHs).</w:t>
      </w:r>
    </w:p>
    <w:p w14:paraId="60FD060F" w14:textId="5F8E569F" w:rsidR="00DB6D80" w:rsidRDefault="00DA26E9" w:rsidP="00DB6D80">
      <w:r w:rsidRPr="00DA26E9">
        <w:t xml:space="preserve">Behaviour in the event of such </w:t>
      </w:r>
      <w:r>
        <w:t xml:space="preserve">SPS </w:t>
      </w:r>
      <w:r w:rsidRPr="00DA26E9">
        <w:t>collisions needs to be specified by RAN2.</w:t>
      </w:r>
    </w:p>
    <w:p w14:paraId="65DE46FD" w14:textId="0A5BDEFD" w:rsidR="00DB6D80" w:rsidRPr="00703E34" w:rsidRDefault="00DB6D80" w:rsidP="00DB6D80">
      <w:pPr>
        <w:rPr>
          <w:b/>
          <w:bCs/>
        </w:rPr>
      </w:pPr>
      <w:r w:rsidRPr="00703E34">
        <w:rPr>
          <w:b/>
          <w:bCs/>
        </w:rPr>
        <w:t xml:space="preserve">Observation </w:t>
      </w:r>
      <w:r w:rsidR="008867A8">
        <w:rPr>
          <w:b/>
          <w:bCs/>
        </w:rPr>
        <w:t>1</w:t>
      </w:r>
      <w:r w:rsidRPr="00703E34">
        <w:rPr>
          <w:b/>
          <w:bCs/>
        </w:rPr>
        <w:t xml:space="preserve">: Rel-16 allows configuration of multiple SPSs per BWP per serving cell which could collide (ie, their PDSCHs overlap in time). </w:t>
      </w:r>
      <w:r w:rsidR="00703E34" w:rsidRPr="00703E34">
        <w:rPr>
          <w:b/>
          <w:bCs/>
        </w:rPr>
        <w:t>Behaviour</w:t>
      </w:r>
      <w:r w:rsidRPr="00703E34">
        <w:rPr>
          <w:b/>
          <w:bCs/>
        </w:rPr>
        <w:t xml:space="preserve"> in the event of such collisions needs to be specified</w:t>
      </w:r>
      <w:r w:rsidR="009C35B7">
        <w:rPr>
          <w:b/>
          <w:bCs/>
        </w:rPr>
        <w:t xml:space="preserve"> by RAN2</w:t>
      </w:r>
      <w:r w:rsidRPr="00703E34">
        <w:rPr>
          <w:b/>
          <w:bCs/>
        </w:rPr>
        <w:t xml:space="preserve">. </w:t>
      </w:r>
    </w:p>
    <w:p w14:paraId="20A11FEC" w14:textId="07B72712" w:rsidR="001F61E3" w:rsidRDefault="00DA26E9" w:rsidP="001F61E3">
      <w:r>
        <w:t>RAN1 introduced priorities for HARQ-ACK of a SPS PDSCH, and related agreements from</w:t>
      </w:r>
      <w:r w:rsidR="001F61E3">
        <w:t xml:space="preserve"> </w:t>
      </w:r>
      <w:r w:rsidR="001F61E3" w:rsidRPr="001F61E3">
        <w:t>RAN1#98bis</w:t>
      </w:r>
      <w:r w:rsidR="001F61E3">
        <w:t xml:space="preserve"> are copied below:</w:t>
      </w:r>
      <w:r>
        <w:t xml:space="preserve"> </w:t>
      </w:r>
    </w:p>
    <w:tbl>
      <w:tblPr>
        <w:tblStyle w:val="TableGrid"/>
        <w:tblW w:w="0" w:type="auto"/>
        <w:tblLook w:val="04A0" w:firstRow="1" w:lastRow="0" w:firstColumn="1" w:lastColumn="0" w:noHBand="0" w:noVBand="1"/>
      </w:tblPr>
      <w:tblGrid>
        <w:gridCol w:w="9631"/>
      </w:tblGrid>
      <w:tr w:rsidR="001F61E3" w14:paraId="45AA0FCD" w14:textId="77777777" w:rsidTr="00D10A2E">
        <w:tc>
          <w:tcPr>
            <w:tcW w:w="9631" w:type="dxa"/>
          </w:tcPr>
          <w:p w14:paraId="60525C60" w14:textId="77777777" w:rsidR="001F61E3" w:rsidRPr="000A1C02" w:rsidRDefault="001F61E3" w:rsidP="00D10A2E">
            <w:pPr>
              <w:spacing w:after="0"/>
              <w:rPr>
                <w:rFonts w:ascii="Times" w:eastAsia="Calibri" w:hAnsi="Times" w:cs="Calibri"/>
                <w:lang w:val="en-US"/>
              </w:rPr>
            </w:pPr>
            <w:r w:rsidRPr="000A1C02">
              <w:rPr>
                <w:rFonts w:ascii="Calibri" w:eastAsia="Calibri" w:hAnsi="Calibri" w:cs="Calibri"/>
                <w:sz w:val="22"/>
                <w:szCs w:val="22"/>
                <w:highlight w:val="green"/>
                <w:lang w:val="en-US"/>
              </w:rPr>
              <w:t>Agreements</w:t>
            </w:r>
            <w:r w:rsidRPr="000A1C02">
              <w:rPr>
                <w:rFonts w:ascii="Calibri" w:eastAsia="Calibri" w:hAnsi="Calibri" w:cs="Calibri"/>
                <w:sz w:val="22"/>
                <w:szCs w:val="22"/>
                <w:lang w:val="en-US"/>
              </w:rPr>
              <w:t>:</w:t>
            </w:r>
          </w:p>
          <w:p w14:paraId="52AEBF31" w14:textId="77777777" w:rsidR="001F61E3" w:rsidRPr="000A1C02" w:rsidRDefault="001F61E3" w:rsidP="00D10A2E">
            <w:pPr>
              <w:numPr>
                <w:ilvl w:val="0"/>
                <w:numId w:val="16"/>
              </w:numPr>
              <w:spacing w:after="0"/>
              <w:rPr>
                <w:rFonts w:ascii="Calibri" w:hAnsi="Calibri" w:cs="Calibri"/>
                <w:sz w:val="22"/>
                <w:szCs w:val="22"/>
                <w:lang w:val="en-US"/>
              </w:rPr>
            </w:pPr>
            <w:r w:rsidRPr="000A1C02">
              <w:rPr>
                <w:rFonts w:ascii="Calibri" w:hAnsi="Calibri" w:cs="Calibri"/>
                <w:sz w:val="22"/>
                <w:szCs w:val="22"/>
                <w:lang w:val="en-US"/>
              </w:rPr>
              <w:t xml:space="preserve">Support 2-level priority of HARQ-ACK for </w:t>
            </w:r>
            <w:proofErr w:type="gramStart"/>
            <w:r w:rsidRPr="000A1C02">
              <w:rPr>
                <w:rFonts w:ascii="Calibri" w:hAnsi="Calibri" w:cs="Calibri"/>
                <w:sz w:val="22"/>
                <w:szCs w:val="22"/>
                <w:lang w:val="en-US"/>
              </w:rPr>
              <w:t>dynamically-scheduled</w:t>
            </w:r>
            <w:proofErr w:type="gramEnd"/>
            <w:r w:rsidRPr="000A1C02">
              <w:rPr>
                <w:rFonts w:ascii="Calibri" w:hAnsi="Calibri" w:cs="Calibri"/>
                <w:sz w:val="22"/>
                <w:szCs w:val="22"/>
                <w:lang w:val="en-US"/>
              </w:rPr>
              <w:t xml:space="preserve"> PDSCH and SPS PDSCH (&amp; ACK for SPS PDSCH release) in R16. </w:t>
            </w:r>
          </w:p>
          <w:p w14:paraId="14E99F5C" w14:textId="77777777" w:rsidR="001F61E3" w:rsidRPr="000A1C02" w:rsidRDefault="001F61E3" w:rsidP="00D10A2E">
            <w:pPr>
              <w:numPr>
                <w:ilvl w:val="1"/>
                <w:numId w:val="16"/>
              </w:numPr>
              <w:spacing w:after="0"/>
              <w:rPr>
                <w:rFonts w:ascii="Calibri" w:hAnsi="Calibri" w:cs="Calibri"/>
                <w:sz w:val="22"/>
                <w:szCs w:val="22"/>
                <w:lang w:val="en-US"/>
              </w:rPr>
            </w:pPr>
            <w:r w:rsidRPr="000A1C02">
              <w:rPr>
                <w:rFonts w:ascii="Calibri" w:hAnsi="Calibri" w:cs="Calibri"/>
                <w:sz w:val="22"/>
                <w:szCs w:val="22"/>
                <w:lang w:val="en-US"/>
              </w:rPr>
              <w:t>Note: This does not preclude possibility of extending it in future releases.</w:t>
            </w:r>
          </w:p>
          <w:p w14:paraId="619336C1" w14:textId="77777777" w:rsidR="001F61E3" w:rsidRPr="000A1C02" w:rsidRDefault="001F61E3" w:rsidP="00D10A2E">
            <w:pPr>
              <w:numPr>
                <w:ilvl w:val="0"/>
                <w:numId w:val="16"/>
              </w:numPr>
              <w:spacing w:after="0"/>
              <w:rPr>
                <w:rFonts w:ascii="Calibri" w:hAnsi="Calibri" w:cs="Calibri"/>
                <w:sz w:val="22"/>
                <w:szCs w:val="22"/>
                <w:lang w:val="en-US"/>
              </w:rPr>
            </w:pPr>
            <w:r w:rsidRPr="000A1C02">
              <w:rPr>
                <w:rFonts w:ascii="Calibri" w:hAnsi="Calibri" w:cs="Calibri"/>
                <w:sz w:val="22"/>
                <w:szCs w:val="22"/>
                <w:lang w:val="en-US"/>
              </w:rPr>
              <w:t xml:space="preserve">An explicit indication (as a new RRC parameter) in each SPS PDSCH configuration provides mapping to corresponding </w:t>
            </w:r>
            <w:r w:rsidRPr="000A1C02">
              <w:rPr>
                <w:rFonts w:ascii="Calibri" w:hAnsi="Calibri" w:cs="Calibri"/>
                <w:color w:val="000000"/>
                <w:sz w:val="22"/>
                <w:szCs w:val="22"/>
                <w:shd w:val="clear" w:color="auto" w:fill="FFFFFF"/>
                <w:lang w:val="en-US"/>
              </w:rPr>
              <w:t>HARQ-ACK codebook</w:t>
            </w:r>
            <w:r w:rsidRPr="000A1C02">
              <w:rPr>
                <w:rFonts w:ascii="Calibri" w:hAnsi="Calibri" w:cs="Calibri"/>
                <w:sz w:val="22"/>
                <w:szCs w:val="22"/>
                <w:lang w:val="en-US"/>
              </w:rPr>
              <w:t xml:space="preserve"> for SPS PDSCH and ACK for SPS PDSCH release</w:t>
            </w:r>
          </w:p>
          <w:p w14:paraId="67A87C01" w14:textId="77777777" w:rsidR="001F61E3" w:rsidRPr="000A1C02" w:rsidRDefault="001F61E3" w:rsidP="00D10A2E">
            <w:pPr>
              <w:numPr>
                <w:ilvl w:val="1"/>
                <w:numId w:val="16"/>
              </w:numPr>
              <w:spacing w:after="0"/>
              <w:rPr>
                <w:rFonts w:ascii="Calibri" w:hAnsi="Calibri" w:cs="Calibri"/>
                <w:sz w:val="22"/>
                <w:szCs w:val="22"/>
                <w:lang w:val="en-US"/>
              </w:rPr>
            </w:pPr>
            <w:r w:rsidRPr="000A1C02">
              <w:rPr>
                <w:rFonts w:ascii="Calibri" w:hAnsi="Calibri" w:cs="Calibri"/>
                <w:sz w:val="22"/>
                <w:szCs w:val="22"/>
                <w:lang w:val="en-US"/>
              </w:rPr>
              <w:t xml:space="preserve">FFS whether/how or not to further indicate a mapping to corresponding </w:t>
            </w:r>
            <w:r w:rsidRPr="000A1C02">
              <w:rPr>
                <w:rFonts w:ascii="Calibri" w:hAnsi="Calibri" w:cs="Calibri"/>
                <w:color w:val="000000"/>
                <w:sz w:val="22"/>
                <w:szCs w:val="22"/>
                <w:shd w:val="clear" w:color="auto" w:fill="FFFFFF"/>
                <w:lang w:val="en-US"/>
              </w:rPr>
              <w:t>HARQ-ACK codebook</w:t>
            </w:r>
            <w:r w:rsidRPr="000A1C02">
              <w:rPr>
                <w:rFonts w:ascii="Calibri" w:hAnsi="Calibri" w:cs="Calibri"/>
                <w:sz w:val="22"/>
                <w:szCs w:val="22"/>
                <w:lang w:val="en-US"/>
              </w:rPr>
              <w:t xml:space="preserve"> by DL SPS activation (FFS to complement or overwrite) the RRC configured indication and if so, the applicable DCI formats</w:t>
            </w:r>
          </w:p>
        </w:tc>
      </w:tr>
    </w:tbl>
    <w:p w14:paraId="7109DD6E" w14:textId="77777777" w:rsidR="003637B2" w:rsidRDefault="003637B2" w:rsidP="003637B2">
      <w:r>
        <w:t xml:space="preserve">These can be viewed as SPS priorities and used for resolving collisions between SPSs. </w:t>
      </w:r>
    </w:p>
    <w:p w14:paraId="5EF28249" w14:textId="77777777" w:rsidR="008867A8" w:rsidRPr="00703E34" w:rsidRDefault="008867A8" w:rsidP="008867A8">
      <w:pPr>
        <w:rPr>
          <w:b/>
          <w:bCs/>
        </w:rPr>
      </w:pPr>
      <w:r w:rsidRPr="00703E34">
        <w:rPr>
          <w:b/>
          <w:bCs/>
        </w:rPr>
        <w:t xml:space="preserve">Observation </w:t>
      </w:r>
      <w:r>
        <w:rPr>
          <w:b/>
          <w:bCs/>
        </w:rPr>
        <w:t>2</w:t>
      </w:r>
      <w:r w:rsidRPr="00703E34">
        <w:rPr>
          <w:b/>
          <w:bCs/>
        </w:rPr>
        <w:t xml:space="preserve">: RAN1 introduced priorities for HARQ-ACK of a SPS PDSCH. These can be viewed as SPS priorities and used for resolving collisions between SPSs. </w:t>
      </w:r>
    </w:p>
    <w:p w14:paraId="28032F3C" w14:textId="756050B7" w:rsidR="00DB6D80" w:rsidRDefault="003637B2" w:rsidP="00DB6D80">
      <w:r>
        <w:t xml:space="preserve">The following </w:t>
      </w:r>
      <w:r w:rsidR="00F269B3">
        <w:t xml:space="preserve">proposes </w:t>
      </w:r>
      <w:r>
        <w:t xml:space="preserve">a </w:t>
      </w:r>
      <w:r w:rsidR="00F269B3">
        <w:t>(</w:t>
      </w:r>
      <w:proofErr w:type="gramStart"/>
      <w:r w:rsidR="00F269B3">
        <w:t xml:space="preserve">fairly </w:t>
      </w:r>
      <w:r>
        <w:t>natural</w:t>
      </w:r>
      <w:proofErr w:type="gramEnd"/>
      <w:r w:rsidR="00F269B3">
        <w:t>)</w:t>
      </w:r>
      <w:r>
        <w:t xml:space="preserve"> rule for resolving SPS collisions accounting for SPS priorities.</w:t>
      </w:r>
      <w:r w:rsidR="00BA62AC">
        <w:t xml:space="preserve"> </w:t>
      </w:r>
    </w:p>
    <w:p w14:paraId="1D37EAA3" w14:textId="77777777" w:rsidR="00DB6D80" w:rsidRPr="003637B2" w:rsidRDefault="00DB6D80" w:rsidP="00DB6D80">
      <w:pPr>
        <w:rPr>
          <w:b/>
          <w:bCs/>
        </w:rPr>
      </w:pPr>
      <w:r w:rsidRPr="003637B2">
        <w:rPr>
          <w:b/>
          <w:bCs/>
        </w:rPr>
        <w:t xml:space="preserve">Proposal 1: If SPSs collide and have different SPS priorities, UE ignores colliding SPSs with lower priority. </w:t>
      </w:r>
    </w:p>
    <w:p w14:paraId="053140E4" w14:textId="0DD1CC7D" w:rsidR="00DB6D80" w:rsidRDefault="003637B2" w:rsidP="00DB6D80">
      <w:r>
        <w:t xml:space="preserve">Following is a simple collision resolution rule when colliding SPSs have same priority. </w:t>
      </w:r>
    </w:p>
    <w:p w14:paraId="3F37AC57" w14:textId="4D931DDB" w:rsidR="00DB6D80" w:rsidRPr="003637B2" w:rsidRDefault="00DB6D80" w:rsidP="00DB6D80">
      <w:pPr>
        <w:rPr>
          <w:b/>
          <w:bCs/>
        </w:rPr>
      </w:pPr>
      <w:r w:rsidRPr="003637B2">
        <w:rPr>
          <w:b/>
          <w:bCs/>
        </w:rPr>
        <w:t>Proposal 2: If SPSs collide and have same SPS priorities, UE carries out prioritization based on SPS index.</w:t>
      </w:r>
    </w:p>
    <w:p w14:paraId="53F25BC6" w14:textId="3323694F" w:rsidR="00E34928" w:rsidRPr="00E34928" w:rsidRDefault="0040365C" w:rsidP="0040365C">
      <w:pPr>
        <w:pStyle w:val="Heading1"/>
      </w:pPr>
      <w:r>
        <w:lastRenderedPageBreak/>
        <w:t>3</w:t>
      </w:r>
      <w:r w:rsidR="00DE68A8">
        <w:tab/>
      </w:r>
      <w:r w:rsidR="00F66A9F" w:rsidRPr="00F66A9F">
        <w:t>Signalling aspects of LCP restriction enhancements for configured grants</w:t>
      </w:r>
    </w:p>
    <w:p w14:paraId="4746DCFB" w14:textId="77777777" w:rsidR="00871483" w:rsidRDefault="00871483" w:rsidP="00871483">
      <w:r>
        <w:t xml:space="preserve">RAN2 agreed to enhance LCP restrictions for configured grants to allow mapping between an LCH and CG configurations, allowing mapping of single LCH to multiple CGs and multiple LCHs to single CG.  </w:t>
      </w:r>
    </w:p>
    <w:p w14:paraId="48EC12E8" w14:textId="1DE5E7EB" w:rsidR="00D17F66" w:rsidRPr="008A2CFB" w:rsidRDefault="00D17F66" w:rsidP="00D17F66">
      <w:pPr>
        <w:rPr>
          <w:b/>
          <w:bCs/>
        </w:rPr>
      </w:pPr>
      <w:r w:rsidRPr="008A2CFB">
        <w:rPr>
          <w:b/>
          <w:bCs/>
        </w:rPr>
        <w:t xml:space="preserve">Observation </w:t>
      </w:r>
      <w:r w:rsidR="00CC155C" w:rsidRPr="008A2CFB">
        <w:rPr>
          <w:b/>
          <w:bCs/>
        </w:rPr>
        <w:t>3</w:t>
      </w:r>
      <w:r w:rsidRPr="008A2CFB">
        <w:rPr>
          <w:b/>
          <w:bCs/>
        </w:rPr>
        <w:t xml:space="preserve">: RAN2 agreed to enhance LCP restrictions for configured grants to allow mapping between an LCH and </w:t>
      </w:r>
      <w:r w:rsidR="004C2831">
        <w:rPr>
          <w:b/>
          <w:bCs/>
        </w:rPr>
        <w:t xml:space="preserve">allowed </w:t>
      </w:r>
      <w:r w:rsidRPr="008A2CFB">
        <w:rPr>
          <w:b/>
          <w:bCs/>
        </w:rPr>
        <w:t xml:space="preserve">CG configurations, allowing mapping of single LCH to multiple CGs and multiple LCHs to single CG.  </w:t>
      </w:r>
    </w:p>
    <w:p w14:paraId="651B0E1F" w14:textId="72F1252D" w:rsidR="008A2CFB" w:rsidRPr="007066AC" w:rsidRDefault="008A2CFB" w:rsidP="008A2CFB">
      <w:pPr>
        <w:rPr>
          <w:b/>
          <w:bCs/>
        </w:rPr>
      </w:pPr>
      <w:r>
        <w:t>I</w:t>
      </w:r>
      <w:r w:rsidRPr="00A26C96">
        <w:t xml:space="preserve">t should be possible to use allowed CGs to indicate that a logical channel </w:t>
      </w:r>
      <w:proofErr w:type="gramStart"/>
      <w:r w:rsidRPr="00A26C96">
        <w:t>is allowed to</w:t>
      </w:r>
      <w:proofErr w:type="gramEnd"/>
      <w:r w:rsidRPr="00A26C96">
        <w:t xml:space="preserve"> use none of the CGs.</w:t>
      </w:r>
      <w:r>
        <w:t xml:space="preserve"> This may be useful to prevent logical channel associated with MBB traffic from using CGs which are all meant to carry only URLLC traffic. I</w:t>
      </w:r>
      <w:r w:rsidRPr="00A26C96">
        <w:t xml:space="preserve">t should be </w:t>
      </w:r>
      <w:r>
        <w:t xml:space="preserve">also be </w:t>
      </w:r>
      <w:r w:rsidRPr="00A26C96">
        <w:t xml:space="preserve">possible to use </w:t>
      </w:r>
      <w:r>
        <w:t xml:space="preserve">signalling of </w:t>
      </w:r>
      <w:r w:rsidRPr="00A26C96">
        <w:t xml:space="preserve">allowed CGs to indicate that a logical channel </w:t>
      </w:r>
      <w:proofErr w:type="gramStart"/>
      <w:r w:rsidRPr="00A26C96">
        <w:t>is allowed to</w:t>
      </w:r>
      <w:proofErr w:type="gramEnd"/>
      <w:r w:rsidRPr="00A26C96">
        <w:t xml:space="preserve"> use all CGs</w:t>
      </w:r>
      <w:r>
        <w:t xml:space="preserve"> to match Rel-15 behaviour</w:t>
      </w:r>
      <w:r w:rsidRPr="00A26C96">
        <w:t>.</w:t>
      </w:r>
      <w:r w:rsidR="00860790">
        <w:t xml:space="preserve"> </w:t>
      </w:r>
      <w:r>
        <w:t>Based on the above discussion, we propose the following:</w:t>
      </w:r>
    </w:p>
    <w:p w14:paraId="2C84BF0F" w14:textId="7C9957F1" w:rsidR="00D17F66" w:rsidRPr="008A2CFB" w:rsidRDefault="00D17F66" w:rsidP="00D17F66">
      <w:pPr>
        <w:rPr>
          <w:b/>
          <w:bCs/>
        </w:rPr>
      </w:pPr>
      <w:r w:rsidRPr="008A2CFB">
        <w:rPr>
          <w:b/>
          <w:bCs/>
        </w:rPr>
        <w:t xml:space="preserve">Proposal </w:t>
      </w:r>
      <w:r w:rsidR="00CC155C" w:rsidRPr="008A2CFB">
        <w:rPr>
          <w:b/>
          <w:bCs/>
        </w:rPr>
        <w:t>3</w:t>
      </w:r>
      <w:r w:rsidRPr="008A2CFB">
        <w:rPr>
          <w:b/>
          <w:bCs/>
        </w:rPr>
        <w:t xml:space="preserve">: Signalling used for LCP mapping restrictions for a logical channel should allow indicating that a logical channel </w:t>
      </w:r>
      <w:proofErr w:type="gramStart"/>
      <w:r w:rsidRPr="008A2CFB">
        <w:rPr>
          <w:b/>
          <w:bCs/>
        </w:rPr>
        <w:t>is allowed to</w:t>
      </w:r>
      <w:proofErr w:type="gramEnd"/>
      <w:r w:rsidRPr="008A2CFB">
        <w:rPr>
          <w:b/>
          <w:bCs/>
        </w:rPr>
        <w:t xml:space="preserve"> use all CGs or none of the CGs.</w:t>
      </w:r>
      <w:r w:rsidR="00A866C6">
        <w:rPr>
          <w:b/>
          <w:bCs/>
        </w:rPr>
        <w:t xml:space="preserve"> IE used for allowed CGs when absent indicates that all CGs are allowed, and when present and empty indicates that none of the CGs are allowed.</w:t>
      </w:r>
    </w:p>
    <w:p w14:paraId="1699C0DD" w14:textId="3A8F02CA" w:rsidR="00E34928" w:rsidRPr="00E34928" w:rsidRDefault="00BE1371" w:rsidP="00C65AAB">
      <w:pPr>
        <w:pStyle w:val="Heading1"/>
      </w:pPr>
      <w:r>
        <w:t>4</w:t>
      </w:r>
      <w:r w:rsidR="003A1B08">
        <w:tab/>
      </w:r>
      <w:r w:rsidR="00F66A9F" w:rsidRPr="00A931F0">
        <w:t xml:space="preserve">Sharing of HARQ processes </w:t>
      </w:r>
      <w:r w:rsidR="007810AC">
        <w:t>by</w:t>
      </w:r>
      <w:r w:rsidR="00F66A9F" w:rsidRPr="00A931F0">
        <w:t xml:space="preserve"> multiple CGs</w:t>
      </w:r>
    </w:p>
    <w:p w14:paraId="5FBD7333" w14:textId="2B29E05D" w:rsidR="00883862" w:rsidRDefault="00883862" w:rsidP="0051621C">
      <w:r>
        <w:t xml:space="preserve">RAN2 introduced support for multiple CGs in Rel-16. </w:t>
      </w:r>
    </w:p>
    <w:p w14:paraId="50E6848D" w14:textId="009109EF" w:rsidR="0051621C" w:rsidRDefault="0051621C" w:rsidP="0051621C">
      <w:pPr>
        <w:rPr>
          <w:b/>
          <w:bCs/>
        </w:rPr>
      </w:pPr>
      <w:r w:rsidRPr="008661FF">
        <w:rPr>
          <w:b/>
          <w:bCs/>
        </w:rPr>
        <w:t xml:space="preserve">Observation </w:t>
      </w:r>
      <w:r w:rsidR="00CC155C" w:rsidRPr="008661FF">
        <w:rPr>
          <w:b/>
          <w:bCs/>
        </w:rPr>
        <w:t>4a</w:t>
      </w:r>
      <w:r w:rsidRPr="008661FF">
        <w:rPr>
          <w:b/>
          <w:bCs/>
        </w:rPr>
        <w:t xml:space="preserve">: RAN2 introduced support for multiple CGs in Rel-16. </w:t>
      </w:r>
    </w:p>
    <w:p w14:paraId="3FE5DADA" w14:textId="7EC7EEAB" w:rsidR="000E189E" w:rsidRDefault="005F1BC5" w:rsidP="005F1BC5">
      <w:r w:rsidRPr="008661FF">
        <w:t xml:space="preserve">Timers like </w:t>
      </w:r>
      <w:r w:rsidRPr="000E189E">
        <w:rPr>
          <w:i/>
          <w:iCs/>
        </w:rPr>
        <w:t>configuredGrantTimer</w:t>
      </w:r>
      <w:r w:rsidRPr="008661FF">
        <w:t xml:space="preserve"> and </w:t>
      </w:r>
      <w:r w:rsidRPr="000E189E">
        <w:rPr>
          <w:i/>
          <w:iCs/>
        </w:rPr>
        <w:t>configuredGrantRetransmissionTimer</w:t>
      </w:r>
      <w:r w:rsidRPr="008661FF">
        <w:t xml:space="preserve"> </w:t>
      </w:r>
      <w:r w:rsidR="000E189E">
        <w:t xml:space="preserve">(introduced as part of NR-U WI) </w:t>
      </w:r>
      <w:r w:rsidRPr="008661FF">
        <w:t xml:space="preserve">operate per HARQ process. </w:t>
      </w:r>
      <w:r w:rsidR="000E189E">
        <w:t>An example illustrating this is shown below:</w:t>
      </w:r>
    </w:p>
    <w:tbl>
      <w:tblPr>
        <w:tblStyle w:val="TableGrid"/>
        <w:tblW w:w="0" w:type="auto"/>
        <w:tblLook w:val="04A0" w:firstRow="1" w:lastRow="0" w:firstColumn="1" w:lastColumn="0" w:noHBand="0" w:noVBand="1"/>
      </w:tblPr>
      <w:tblGrid>
        <w:gridCol w:w="9631"/>
      </w:tblGrid>
      <w:tr w:rsidR="000E189E" w14:paraId="6F712EE1" w14:textId="77777777" w:rsidTr="000E189E">
        <w:tc>
          <w:tcPr>
            <w:tcW w:w="9631" w:type="dxa"/>
          </w:tcPr>
          <w:p w14:paraId="56CD3630" w14:textId="77777777" w:rsidR="000E189E" w:rsidRPr="000E189E" w:rsidRDefault="000E189E" w:rsidP="000E189E">
            <w:pPr>
              <w:rPr>
                <w:rFonts w:eastAsia="Malgun Gothic"/>
                <w:noProof/>
                <w:lang w:eastAsia="ko-KR"/>
              </w:rPr>
            </w:pPr>
            <w:r w:rsidRPr="000E189E">
              <w:rPr>
                <w:rFonts w:eastAsia="Malgun Gothic"/>
                <w:noProof/>
                <w:lang w:eastAsia="ko-KR"/>
              </w:rPr>
              <w:t>For each Serving Cell and each configured uplink grant, if configured and activated, the MAC entity shall:</w:t>
            </w:r>
          </w:p>
          <w:p w14:paraId="19A4A8AE" w14:textId="77777777" w:rsidR="000E189E" w:rsidRPr="000E189E" w:rsidRDefault="000E189E" w:rsidP="000E189E">
            <w:pPr>
              <w:ind w:left="568" w:hanging="284"/>
              <w:rPr>
                <w:rFonts w:eastAsia="Malgun Gothic"/>
                <w:noProof/>
                <w:lang w:eastAsia="ko-KR"/>
              </w:rPr>
            </w:pPr>
            <w:r w:rsidRPr="000E189E">
              <w:rPr>
                <w:rFonts w:eastAsia="Malgun Gothic"/>
                <w:noProof/>
                <w:lang w:eastAsia="ko-KR"/>
              </w:rPr>
              <w:t>1&gt;</w:t>
            </w:r>
            <w:r w:rsidRPr="000E189E">
              <w:rPr>
                <w:rFonts w:eastAsia="Malgun Gothic"/>
                <w:noProof/>
                <w:lang w:eastAsia="ko-KR"/>
              </w:rPr>
              <w:tab/>
              <w:t>if the PUSCH duration of the configured uplink grant does not overlap with the PUSCH duration of an uplink grant received on the PDCCH or in a Random Access Response for this Serving Cell:</w:t>
            </w:r>
          </w:p>
          <w:p w14:paraId="5CE7DB7F" w14:textId="77777777" w:rsidR="000E189E" w:rsidRPr="000E189E" w:rsidRDefault="000E189E" w:rsidP="000E189E">
            <w:pPr>
              <w:ind w:left="851" w:hanging="284"/>
              <w:rPr>
                <w:rFonts w:eastAsia="Malgun Gothic"/>
                <w:noProof/>
                <w:lang w:eastAsia="ko-KR"/>
              </w:rPr>
            </w:pPr>
            <w:r w:rsidRPr="000E189E">
              <w:rPr>
                <w:rFonts w:eastAsia="Malgun Gothic"/>
                <w:noProof/>
                <w:lang w:eastAsia="ko-KR"/>
              </w:rPr>
              <w:t>2&gt;</w:t>
            </w:r>
            <w:r w:rsidRPr="000E189E">
              <w:rPr>
                <w:rFonts w:eastAsia="Malgun Gothic"/>
                <w:noProof/>
                <w:lang w:eastAsia="ko-KR"/>
              </w:rPr>
              <w:tab/>
              <w:t>set the HARQ Process ID to the HARQ Process ID associated with this PUSCH duration;</w:t>
            </w:r>
          </w:p>
          <w:p w14:paraId="45DC917F" w14:textId="77777777" w:rsidR="000E189E" w:rsidRPr="000E189E" w:rsidRDefault="000E189E" w:rsidP="000E189E">
            <w:pPr>
              <w:ind w:left="851" w:hanging="284"/>
              <w:rPr>
                <w:rFonts w:eastAsia="Malgun Gothic"/>
                <w:noProof/>
                <w:lang w:eastAsia="ko-KR"/>
              </w:rPr>
            </w:pPr>
            <w:r w:rsidRPr="000E189E">
              <w:rPr>
                <w:rFonts w:eastAsia="Malgun Gothic"/>
                <w:noProof/>
                <w:lang w:eastAsia="ko-KR"/>
              </w:rPr>
              <w:t>2&gt;</w:t>
            </w:r>
            <w:r w:rsidRPr="000E189E">
              <w:rPr>
                <w:rFonts w:eastAsia="Malgun Gothic"/>
                <w:noProof/>
                <w:lang w:eastAsia="ko-KR"/>
              </w:rPr>
              <w:tab/>
              <w:t xml:space="preserve">if the </w:t>
            </w:r>
            <w:r w:rsidRPr="000E189E">
              <w:rPr>
                <w:rFonts w:eastAsia="Malgun Gothic"/>
                <w:i/>
                <w:noProof/>
                <w:lang w:eastAsia="ko-KR"/>
              </w:rPr>
              <w:t>configuredGrantTimer</w:t>
            </w:r>
            <w:r w:rsidRPr="000E189E">
              <w:rPr>
                <w:rFonts w:eastAsia="Malgun Gothic"/>
                <w:noProof/>
                <w:lang w:eastAsia="ko-KR"/>
              </w:rPr>
              <w:t xml:space="preserve"> for the corresponding HARQ process is not running:</w:t>
            </w:r>
          </w:p>
          <w:p w14:paraId="39C6805E" w14:textId="77777777" w:rsidR="000E189E" w:rsidRPr="000E189E" w:rsidRDefault="000E189E" w:rsidP="000E189E">
            <w:pPr>
              <w:ind w:left="1135" w:hanging="284"/>
              <w:rPr>
                <w:rFonts w:eastAsia="Malgun Gothic"/>
                <w:noProof/>
                <w:lang w:eastAsia="ko-KR"/>
              </w:rPr>
            </w:pPr>
            <w:r w:rsidRPr="000E189E">
              <w:rPr>
                <w:rFonts w:eastAsia="Malgun Gothic"/>
                <w:noProof/>
                <w:lang w:eastAsia="ko-KR"/>
              </w:rPr>
              <w:t>3&gt;</w:t>
            </w:r>
            <w:r w:rsidRPr="000E189E">
              <w:rPr>
                <w:rFonts w:eastAsia="Malgun Gothic"/>
                <w:noProof/>
                <w:lang w:eastAsia="ko-KR"/>
              </w:rPr>
              <w:tab/>
              <w:t>consider the NDI bit for the corresponding HARQ process to have been toggled;</w:t>
            </w:r>
          </w:p>
          <w:p w14:paraId="1983C6E0" w14:textId="6EB191D8" w:rsidR="000E189E" w:rsidRPr="000E189E" w:rsidRDefault="000E189E" w:rsidP="000E189E">
            <w:pPr>
              <w:ind w:left="1135" w:hanging="284"/>
              <w:rPr>
                <w:rFonts w:eastAsia="Malgun Gothic"/>
                <w:noProof/>
                <w:lang w:eastAsia="ko-KR"/>
              </w:rPr>
            </w:pPr>
            <w:r w:rsidRPr="000E189E">
              <w:rPr>
                <w:rFonts w:eastAsia="Malgun Gothic"/>
                <w:noProof/>
                <w:lang w:eastAsia="ko-KR"/>
              </w:rPr>
              <w:t>3&gt;</w:t>
            </w:r>
            <w:r w:rsidRPr="000E189E">
              <w:rPr>
                <w:rFonts w:eastAsia="Malgun Gothic"/>
                <w:noProof/>
                <w:lang w:eastAsia="ko-KR"/>
              </w:rPr>
              <w:tab/>
              <w:t>deliver the configured uplink grant and the associated HARQ information to the HARQ entity.</w:t>
            </w:r>
          </w:p>
        </w:tc>
      </w:tr>
    </w:tbl>
    <w:p w14:paraId="6B9063BF" w14:textId="7009A7BF" w:rsidR="005F1BC5" w:rsidRDefault="005F1BC5" w:rsidP="005F1BC5">
      <w:r w:rsidRPr="008661FF">
        <w:t>Enhancements or simplifying assumptions (e.g., timers are set to same value for all CGs) will be needed to the timers to allow multiple CGs to use the timers.</w:t>
      </w:r>
    </w:p>
    <w:p w14:paraId="341D9356" w14:textId="4AA00497" w:rsidR="0051621C" w:rsidRPr="008661FF" w:rsidRDefault="0051621C" w:rsidP="0051621C">
      <w:pPr>
        <w:rPr>
          <w:b/>
          <w:bCs/>
        </w:rPr>
      </w:pPr>
      <w:r w:rsidRPr="008661FF">
        <w:rPr>
          <w:b/>
          <w:bCs/>
        </w:rPr>
        <w:t xml:space="preserve">Observation </w:t>
      </w:r>
      <w:r w:rsidR="00CC155C" w:rsidRPr="008661FF">
        <w:rPr>
          <w:b/>
          <w:bCs/>
        </w:rPr>
        <w:t>4b</w:t>
      </w:r>
      <w:r w:rsidRPr="008661FF">
        <w:rPr>
          <w:b/>
          <w:bCs/>
        </w:rPr>
        <w:t xml:space="preserve">: Timers like </w:t>
      </w:r>
      <w:r w:rsidRPr="00E37784">
        <w:rPr>
          <w:b/>
          <w:bCs/>
          <w:i/>
          <w:iCs/>
        </w:rPr>
        <w:t>configuredGrantTimer</w:t>
      </w:r>
      <w:r w:rsidRPr="008661FF">
        <w:rPr>
          <w:b/>
          <w:bCs/>
        </w:rPr>
        <w:t xml:space="preserve"> and </w:t>
      </w:r>
      <w:r w:rsidRPr="00E37784">
        <w:rPr>
          <w:b/>
          <w:bCs/>
          <w:i/>
          <w:iCs/>
        </w:rPr>
        <w:t>configuredGrantRetransmissionTimer</w:t>
      </w:r>
      <w:r w:rsidRPr="008661FF">
        <w:rPr>
          <w:b/>
          <w:bCs/>
        </w:rPr>
        <w:t xml:space="preserve"> operate per HARQ process. Enhancements or simplifying assumptions (e.g., timers are set to same value for all CGs) will be needed to the timers to allow multiple CGs to use the timers. </w:t>
      </w:r>
    </w:p>
    <w:p w14:paraId="65E481E2" w14:textId="39C8A4E2" w:rsidR="0051621C" w:rsidRDefault="008661FF" w:rsidP="0051621C">
      <w:r>
        <w:t>Hence, we propose the following:</w:t>
      </w:r>
    </w:p>
    <w:p w14:paraId="57ADB719" w14:textId="42B332A5" w:rsidR="0051621C" w:rsidRPr="008661FF" w:rsidRDefault="0051621C" w:rsidP="0051621C">
      <w:pPr>
        <w:rPr>
          <w:b/>
          <w:bCs/>
        </w:rPr>
      </w:pPr>
      <w:r w:rsidRPr="008661FF">
        <w:rPr>
          <w:b/>
          <w:bCs/>
        </w:rPr>
        <w:t xml:space="preserve">Proposal </w:t>
      </w:r>
      <w:r w:rsidR="00FE3648" w:rsidRPr="008661FF">
        <w:rPr>
          <w:b/>
          <w:bCs/>
        </w:rPr>
        <w:t>4</w:t>
      </w:r>
      <w:r w:rsidRPr="008661FF">
        <w:rPr>
          <w:b/>
          <w:bCs/>
        </w:rPr>
        <w:t>: RAN2 assumes that HARQ processes are not shared between CGs as a baseline.</w:t>
      </w:r>
    </w:p>
    <w:p w14:paraId="766D6D29" w14:textId="404BD49D" w:rsidR="00A209D6" w:rsidRPr="002E507C" w:rsidRDefault="009A294A" w:rsidP="00A209D6">
      <w:pPr>
        <w:pStyle w:val="Heading1"/>
        <w:rPr>
          <w:lang w:val="pl-PL"/>
        </w:rPr>
      </w:pPr>
      <w:r>
        <w:rPr>
          <w:lang w:val="pl-PL"/>
        </w:rPr>
        <w:t>5</w:t>
      </w:r>
      <w:r w:rsidR="00A209D6" w:rsidRPr="002E507C">
        <w:rPr>
          <w:lang w:val="pl-PL"/>
        </w:rPr>
        <w:tab/>
      </w:r>
      <w:r w:rsidR="00236745" w:rsidRPr="00B63AB6">
        <w:rPr>
          <w:lang w:val="pl-PL"/>
        </w:rPr>
        <w:t>Summary</w:t>
      </w:r>
    </w:p>
    <w:p w14:paraId="5C1B79F6" w14:textId="7C8E3E2A" w:rsidR="003302EE" w:rsidRDefault="00126017" w:rsidP="008D5D0E">
      <w:pPr>
        <w:rPr>
          <w:lang w:val="pl-PL"/>
        </w:rPr>
      </w:pPr>
      <w:bookmarkStart w:id="1" w:name="_Hlk6406644"/>
      <w:r>
        <w:rPr>
          <w:lang w:val="pl-PL"/>
        </w:rPr>
        <w:t xml:space="preserve">Observations and proposals </w:t>
      </w:r>
      <w:r w:rsidR="001324B1">
        <w:rPr>
          <w:lang w:val="pl-PL"/>
        </w:rPr>
        <w:t>from the above discusison are copied below:</w:t>
      </w:r>
    </w:p>
    <w:p w14:paraId="5DD48357" w14:textId="77777777" w:rsidR="001324B1" w:rsidRPr="00703E34" w:rsidRDefault="001324B1" w:rsidP="001324B1">
      <w:pPr>
        <w:rPr>
          <w:b/>
          <w:bCs/>
        </w:rPr>
      </w:pPr>
      <w:r w:rsidRPr="00703E34">
        <w:rPr>
          <w:b/>
          <w:bCs/>
        </w:rPr>
        <w:t xml:space="preserve">Observation </w:t>
      </w:r>
      <w:r>
        <w:rPr>
          <w:b/>
          <w:bCs/>
        </w:rPr>
        <w:t>1</w:t>
      </w:r>
      <w:r w:rsidRPr="00703E34">
        <w:rPr>
          <w:b/>
          <w:bCs/>
        </w:rPr>
        <w:t>: Rel-16 allows configuration of multiple SPSs per BWP per serving cell which could collide (ie, their PDSCHs overlap in time). Behaviour in the event of such collisions needs to be specified</w:t>
      </w:r>
      <w:r>
        <w:rPr>
          <w:b/>
          <w:bCs/>
        </w:rPr>
        <w:t xml:space="preserve"> by RAN2</w:t>
      </w:r>
      <w:r w:rsidRPr="00703E34">
        <w:rPr>
          <w:b/>
          <w:bCs/>
        </w:rPr>
        <w:t xml:space="preserve">. </w:t>
      </w:r>
    </w:p>
    <w:p w14:paraId="36E772DA" w14:textId="77777777" w:rsidR="007A09E5" w:rsidRPr="00703E34" w:rsidRDefault="007A09E5" w:rsidP="007A09E5">
      <w:pPr>
        <w:rPr>
          <w:b/>
          <w:bCs/>
        </w:rPr>
      </w:pPr>
      <w:r w:rsidRPr="00703E34">
        <w:rPr>
          <w:b/>
          <w:bCs/>
        </w:rPr>
        <w:t xml:space="preserve">Observation </w:t>
      </w:r>
      <w:r>
        <w:rPr>
          <w:b/>
          <w:bCs/>
        </w:rPr>
        <w:t>2</w:t>
      </w:r>
      <w:r w:rsidRPr="00703E34">
        <w:rPr>
          <w:b/>
          <w:bCs/>
        </w:rPr>
        <w:t xml:space="preserve">: RAN1 introduced priorities for HARQ-ACK of a SPS PDSCH. These can be viewed as SPS priorities and used for resolving collisions between SPSs. </w:t>
      </w:r>
    </w:p>
    <w:p w14:paraId="42D3B97D" w14:textId="77777777" w:rsidR="007A09E5" w:rsidRPr="003637B2" w:rsidRDefault="007A09E5" w:rsidP="007A09E5">
      <w:pPr>
        <w:rPr>
          <w:b/>
          <w:bCs/>
        </w:rPr>
      </w:pPr>
      <w:r w:rsidRPr="003637B2">
        <w:rPr>
          <w:b/>
          <w:bCs/>
        </w:rPr>
        <w:lastRenderedPageBreak/>
        <w:t xml:space="preserve">Proposal 1: If SPSs collide and have different SPS priorities, UE ignores colliding SPSs with lower priority. </w:t>
      </w:r>
    </w:p>
    <w:p w14:paraId="73BE3395" w14:textId="77777777" w:rsidR="007A09E5" w:rsidRPr="003637B2" w:rsidRDefault="007A09E5" w:rsidP="007A09E5">
      <w:pPr>
        <w:rPr>
          <w:b/>
          <w:bCs/>
        </w:rPr>
      </w:pPr>
      <w:r w:rsidRPr="003637B2">
        <w:rPr>
          <w:b/>
          <w:bCs/>
        </w:rPr>
        <w:t>Proposal 2: If SPSs collide and have same SPS priorities, UE carries out prioritization based on SPS index.</w:t>
      </w:r>
    </w:p>
    <w:p w14:paraId="075637EA" w14:textId="77777777" w:rsidR="00B95FB4" w:rsidRDefault="00B95FB4" w:rsidP="007A09E5">
      <w:pPr>
        <w:rPr>
          <w:b/>
          <w:bCs/>
        </w:rPr>
      </w:pPr>
    </w:p>
    <w:p w14:paraId="707A834D" w14:textId="565EA113" w:rsidR="007A09E5" w:rsidRPr="008A2CFB" w:rsidRDefault="007A09E5" w:rsidP="007A09E5">
      <w:pPr>
        <w:rPr>
          <w:b/>
          <w:bCs/>
        </w:rPr>
      </w:pPr>
      <w:r w:rsidRPr="008A2CFB">
        <w:rPr>
          <w:b/>
          <w:bCs/>
        </w:rPr>
        <w:t xml:space="preserve">Observation 3: RAN2 agreed to enhance LCP restrictions for configured grants to allow mapping between an LCH and </w:t>
      </w:r>
      <w:r>
        <w:rPr>
          <w:b/>
          <w:bCs/>
        </w:rPr>
        <w:t xml:space="preserve">allowed </w:t>
      </w:r>
      <w:r w:rsidRPr="008A2CFB">
        <w:rPr>
          <w:b/>
          <w:bCs/>
        </w:rPr>
        <w:t xml:space="preserve">CG configurations, allowing mapping of single LCH to multiple CGs and multiple LCHs to single CG.  </w:t>
      </w:r>
    </w:p>
    <w:p w14:paraId="16FCF18C" w14:textId="17BBEA5D" w:rsidR="007A09E5" w:rsidRPr="008A2CFB" w:rsidRDefault="007A09E5" w:rsidP="007A09E5">
      <w:pPr>
        <w:rPr>
          <w:b/>
          <w:bCs/>
        </w:rPr>
      </w:pPr>
      <w:r w:rsidRPr="008A2CFB">
        <w:rPr>
          <w:b/>
          <w:bCs/>
        </w:rPr>
        <w:t xml:space="preserve">Proposal 3: Signalling used for LCP mapping restrictions for a logical channel should allow indicating that a logical channel </w:t>
      </w:r>
      <w:proofErr w:type="gramStart"/>
      <w:r w:rsidRPr="008A2CFB">
        <w:rPr>
          <w:b/>
          <w:bCs/>
        </w:rPr>
        <w:t>is allowed to</w:t>
      </w:r>
      <w:proofErr w:type="gramEnd"/>
      <w:r w:rsidRPr="008A2CFB">
        <w:rPr>
          <w:b/>
          <w:bCs/>
        </w:rPr>
        <w:t xml:space="preserve"> use all CGs or none of the CGs.</w:t>
      </w:r>
      <w:r w:rsidR="005C0D20" w:rsidRPr="005C0D20">
        <w:rPr>
          <w:b/>
          <w:bCs/>
        </w:rPr>
        <w:t xml:space="preserve"> </w:t>
      </w:r>
      <w:r w:rsidR="005C0D20">
        <w:rPr>
          <w:b/>
          <w:bCs/>
        </w:rPr>
        <w:t>IE used for allowed CGs when absent indicates that all CGs are allowed, and when present and empty indicates that none of the CGs are allowed.</w:t>
      </w:r>
    </w:p>
    <w:p w14:paraId="2BA1FEC5" w14:textId="77777777" w:rsidR="00B95FB4" w:rsidRDefault="00B95FB4" w:rsidP="00B95FB4">
      <w:pPr>
        <w:rPr>
          <w:b/>
          <w:bCs/>
        </w:rPr>
      </w:pPr>
    </w:p>
    <w:p w14:paraId="77E443C8" w14:textId="33DC75DA" w:rsidR="00B95FB4" w:rsidRPr="008661FF" w:rsidRDefault="00B95FB4" w:rsidP="00B95FB4">
      <w:pPr>
        <w:rPr>
          <w:b/>
          <w:bCs/>
        </w:rPr>
      </w:pPr>
      <w:r w:rsidRPr="008661FF">
        <w:rPr>
          <w:b/>
          <w:bCs/>
        </w:rPr>
        <w:t xml:space="preserve">Observation 4a: RAN2 introduced support for multiple CGs in Rel-16. </w:t>
      </w:r>
    </w:p>
    <w:p w14:paraId="0B093ACF" w14:textId="77777777" w:rsidR="00B95FB4" w:rsidRPr="008661FF" w:rsidRDefault="00B95FB4" w:rsidP="00B95FB4">
      <w:pPr>
        <w:rPr>
          <w:b/>
          <w:bCs/>
        </w:rPr>
      </w:pPr>
      <w:r w:rsidRPr="008661FF">
        <w:rPr>
          <w:b/>
          <w:bCs/>
        </w:rPr>
        <w:t xml:space="preserve">Observation 4b: Timers like configuredGrantTimer and configuredGrantRetransmissionTimer operate per HARQ process. Enhancements or simplifying assumptions (e.g., timers are set to same value for all CGs) will be needed to the timers to allow multiple CGs to use the timers. </w:t>
      </w:r>
    </w:p>
    <w:p w14:paraId="35F93113" w14:textId="77777777" w:rsidR="00B95FB4" w:rsidRPr="008661FF" w:rsidRDefault="00B95FB4" w:rsidP="00B95FB4">
      <w:pPr>
        <w:rPr>
          <w:b/>
          <w:bCs/>
        </w:rPr>
      </w:pPr>
      <w:r w:rsidRPr="008661FF">
        <w:rPr>
          <w:b/>
          <w:bCs/>
        </w:rPr>
        <w:t>Proposal 4: RAN2 assumes that HARQ processes are not shared between CGs as a baseline.</w:t>
      </w:r>
    </w:p>
    <w:p w14:paraId="1E39AD99" w14:textId="77777777" w:rsidR="00D967A1" w:rsidRPr="00234BB9" w:rsidRDefault="00D967A1" w:rsidP="00126017">
      <w:pPr>
        <w:rPr>
          <w:lang w:val="pl-PL"/>
        </w:rPr>
      </w:pPr>
    </w:p>
    <w:bookmarkEnd w:id="1"/>
    <w:p w14:paraId="60449C3F" w14:textId="77777777" w:rsidR="00A209D6" w:rsidRPr="00234BB9" w:rsidRDefault="00A209D6" w:rsidP="00A209D6">
      <w:pPr>
        <w:rPr>
          <w:lang w:val="pl-PL"/>
        </w:rPr>
      </w:pPr>
    </w:p>
    <w:p w14:paraId="432B0A82" w14:textId="77777777" w:rsidR="00A209D6" w:rsidRPr="00234BB9" w:rsidRDefault="00A209D6" w:rsidP="00A209D6">
      <w:pPr>
        <w:rPr>
          <w:lang w:val="pl-PL"/>
        </w:rPr>
      </w:pPr>
    </w:p>
    <w:p w14:paraId="70A0FCFE" w14:textId="77777777" w:rsidR="00ED4616" w:rsidRPr="006F58DF" w:rsidRDefault="00ED4616" w:rsidP="006F58DF">
      <w:pPr>
        <w:rPr>
          <w:lang w:val="pl-PL"/>
        </w:rPr>
      </w:pPr>
    </w:p>
    <w:sectPr w:rsidR="00ED4616" w:rsidRPr="006F58DF">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650A3" w14:textId="77777777" w:rsidR="00966744" w:rsidRDefault="00966744">
      <w:r>
        <w:separator/>
      </w:r>
    </w:p>
  </w:endnote>
  <w:endnote w:type="continuationSeparator" w:id="0">
    <w:p w14:paraId="11F56FFA" w14:textId="77777777" w:rsidR="00966744" w:rsidRDefault="00966744">
      <w:r>
        <w:continuationSeparator/>
      </w:r>
    </w:p>
  </w:endnote>
  <w:endnote w:type="continuationNotice" w:id="1">
    <w:p w14:paraId="0EEF1EDC" w14:textId="77777777" w:rsidR="00966744" w:rsidRDefault="00966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3740E" w14:textId="77777777" w:rsidR="00966744" w:rsidRDefault="00966744">
      <w:r>
        <w:separator/>
      </w:r>
    </w:p>
  </w:footnote>
  <w:footnote w:type="continuationSeparator" w:id="0">
    <w:p w14:paraId="70911CE0" w14:textId="77777777" w:rsidR="00966744" w:rsidRDefault="00966744">
      <w:r>
        <w:continuationSeparator/>
      </w:r>
    </w:p>
  </w:footnote>
  <w:footnote w:type="continuationNotice" w:id="1">
    <w:p w14:paraId="4C094A45" w14:textId="77777777" w:rsidR="00966744" w:rsidRDefault="009667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898233839"/>
      <w:docPartObj>
        <w:docPartGallery w:val="Page Numbers (Top of Page)"/>
        <w:docPartUnique/>
      </w:docPartObj>
    </w:sdtPr>
    <w:sdtEndPr>
      <w:rPr>
        <w:noProof/>
      </w:rPr>
    </w:sdtEndPr>
    <w:sdtContent>
      <w:p w14:paraId="5ECFC9B6" w14:textId="3F444185" w:rsidR="00672652" w:rsidRDefault="0067265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7A454E6E" w14:textId="77777777" w:rsidR="00672652" w:rsidRDefault="006726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393F"/>
    <w:multiLevelType w:val="hybridMultilevel"/>
    <w:tmpl w:val="6EEE156C"/>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1D6FCD"/>
    <w:multiLevelType w:val="hybridMultilevel"/>
    <w:tmpl w:val="CA7EF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90521"/>
    <w:multiLevelType w:val="hybridMultilevel"/>
    <w:tmpl w:val="D32A7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24188E"/>
    <w:multiLevelType w:val="hybridMultilevel"/>
    <w:tmpl w:val="97A65EBA"/>
    <w:lvl w:ilvl="0" w:tplc="23FAAE3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4D6B5D"/>
    <w:multiLevelType w:val="hybridMultilevel"/>
    <w:tmpl w:val="2B06CCE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69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D77557"/>
    <w:multiLevelType w:val="hybridMultilevel"/>
    <w:tmpl w:val="C6A64FFC"/>
    <w:lvl w:ilvl="0" w:tplc="046AC87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0F010A"/>
    <w:multiLevelType w:val="hybridMultilevel"/>
    <w:tmpl w:val="F6420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572E5D"/>
    <w:multiLevelType w:val="hybridMultilevel"/>
    <w:tmpl w:val="E90E5284"/>
    <w:lvl w:ilvl="0" w:tplc="3D3C88C2">
      <w:start w:val="2"/>
      <w:numFmt w:val="bullet"/>
      <w:lvlText w:val="-"/>
      <w:lvlJc w:val="left"/>
      <w:pPr>
        <w:ind w:left="720" w:hanging="360"/>
      </w:pPr>
      <w:rPr>
        <w:rFonts w:ascii="Times New Roman" w:eastAsia="Times New Roma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3"/>
  </w:num>
  <w:num w:numId="4">
    <w:abstractNumId w:val="6"/>
  </w:num>
  <w:num w:numId="5">
    <w:abstractNumId w:val="7"/>
  </w:num>
  <w:num w:numId="6">
    <w:abstractNumId w:val="5"/>
  </w:num>
  <w:num w:numId="7">
    <w:abstractNumId w:val="0"/>
  </w:num>
  <w:num w:numId="8">
    <w:abstractNumId w:val="13"/>
  </w:num>
  <w:num w:numId="9">
    <w:abstractNumId w:val="11"/>
  </w:num>
  <w:num w:numId="10">
    <w:abstractNumId w:val="9"/>
  </w:num>
  <w:num w:numId="11">
    <w:abstractNumId w:val="10"/>
  </w:num>
  <w:num w:numId="12">
    <w:abstractNumId w:val="12"/>
  </w:num>
  <w:num w:numId="13">
    <w:abstractNumId w:val="2"/>
  </w:num>
  <w:num w:numId="14">
    <w:abstractNumId w:val="4"/>
  </w:num>
  <w:num w:numId="15">
    <w:abstractNumId w:val="1"/>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57"/>
    <w:rsid w:val="000017F8"/>
    <w:rsid w:val="00002208"/>
    <w:rsid w:val="000054F6"/>
    <w:rsid w:val="0000726E"/>
    <w:rsid w:val="000075EF"/>
    <w:rsid w:val="0001542E"/>
    <w:rsid w:val="00016523"/>
    <w:rsid w:val="000242AA"/>
    <w:rsid w:val="00024A14"/>
    <w:rsid w:val="00024AA6"/>
    <w:rsid w:val="00024F40"/>
    <w:rsid w:val="0002677F"/>
    <w:rsid w:val="00026B10"/>
    <w:rsid w:val="00030852"/>
    <w:rsid w:val="000318B3"/>
    <w:rsid w:val="00033397"/>
    <w:rsid w:val="00033A45"/>
    <w:rsid w:val="00033AC0"/>
    <w:rsid w:val="00034B8A"/>
    <w:rsid w:val="0003698D"/>
    <w:rsid w:val="00037940"/>
    <w:rsid w:val="00037C24"/>
    <w:rsid w:val="00037D46"/>
    <w:rsid w:val="00040095"/>
    <w:rsid w:val="000406D1"/>
    <w:rsid w:val="00040D5B"/>
    <w:rsid w:val="00040E58"/>
    <w:rsid w:val="0004105A"/>
    <w:rsid w:val="000412CD"/>
    <w:rsid w:val="00044452"/>
    <w:rsid w:val="0004453C"/>
    <w:rsid w:val="00044D1A"/>
    <w:rsid w:val="00045437"/>
    <w:rsid w:val="00046F66"/>
    <w:rsid w:val="00047824"/>
    <w:rsid w:val="00047D68"/>
    <w:rsid w:val="00050222"/>
    <w:rsid w:val="000514DC"/>
    <w:rsid w:val="0005248D"/>
    <w:rsid w:val="00052A55"/>
    <w:rsid w:val="00052BC8"/>
    <w:rsid w:val="000541B8"/>
    <w:rsid w:val="000552F3"/>
    <w:rsid w:val="00055493"/>
    <w:rsid w:val="00055AA2"/>
    <w:rsid w:val="00055DB7"/>
    <w:rsid w:val="00056BB0"/>
    <w:rsid w:val="000606D1"/>
    <w:rsid w:val="00061455"/>
    <w:rsid w:val="00063B3C"/>
    <w:rsid w:val="000670BE"/>
    <w:rsid w:val="00071353"/>
    <w:rsid w:val="00073C9C"/>
    <w:rsid w:val="00073F92"/>
    <w:rsid w:val="000748CB"/>
    <w:rsid w:val="00077262"/>
    <w:rsid w:val="00080512"/>
    <w:rsid w:val="00081D42"/>
    <w:rsid w:val="00081ECA"/>
    <w:rsid w:val="00082A23"/>
    <w:rsid w:val="00082A82"/>
    <w:rsid w:val="000846DA"/>
    <w:rsid w:val="00090468"/>
    <w:rsid w:val="00091FE2"/>
    <w:rsid w:val="00092EBE"/>
    <w:rsid w:val="0009452D"/>
    <w:rsid w:val="00094568"/>
    <w:rsid w:val="00094C00"/>
    <w:rsid w:val="00094F78"/>
    <w:rsid w:val="00096267"/>
    <w:rsid w:val="00096371"/>
    <w:rsid w:val="00097632"/>
    <w:rsid w:val="000979EC"/>
    <w:rsid w:val="000A1C02"/>
    <w:rsid w:val="000A2273"/>
    <w:rsid w:val="000A2D73"/>
    <w:rsid w:val="000A2F81"/>
    <w:rsid w:val="000A765E"/>
    <w:rsid w:val="000A7AB8"/>
    <w:rsid w:val="000A7BF3"/>
    <w:rsid w:val="000B074A"/>
    <w:rsid w:val="000B297F"/>
    <w:rsid w:val="000B3A6A"/>
    <w:rsid w:val="000B5225"/>
    <w:rsid w:val="000B5DC3"/>
    <w:rsid w:val="000B68B4"/>
    <w:rsid w:val="000B722B"/>
    <w:rsid w:val="000B7BCF"/>
    <w:rsid w:val="000C2052"/>
    <w:rsid w:val="000C471C"/>
    <w:rsid w:val="000C4C54"/>
    <w:rsid w:val="000C4E09"/>
    <w:rsid w:val="000C4EEE"/>
    <w:rsid w:val="000C50B7"/>
    <w:rsid w:val="000C50CD"/>
    <w:rsid w:val="000C522B"/>
    <w:rsid w:val="000C687F"/>
    <w:rsid w:val="000C77D7"/>
    <w:rsid w:val="000D106F"/>
    <w:rsid w:val="000D1D28"/>
    <w:rsid w:val="000D2354"/>
    <w:rsid w:val="000D58AB"/>
    <w:rsid w:val="000D61F6"/>
    <w:rsid w:val="000D6EEE"/>
    <w:rsid w:val="000E189E"/>
    <w:rsid w:val="000E1EC0"/>
    <w:rsid w:val="000E28E8"/>
    <w:rsid w:val="000E2ABF"/>
    <w:rsid w:val="000E2CB6"/>
    <w:rsid w:val="000E334F"/>
    <w:rsid w:val="000E3BC2"/>
    <w:rsid w:val="000E41F7"/>
    <w:rsid w:val="000E5B59"/>
    <w:rsid w:val="000E6591"/>
    <w:rsid w:val="000E7614"/>
    <w:rsid w:val="000E79E9"/>
    <w:rsid w:val="000F3151"/>
    <w:rsid w:val="0010096C"/>
    <w:rsid w:val="00100A68"/>
    <w:rsid w:val="00100D1E"/>
    <w:rsid w:val="00102128"/>
    <w:rsid w:val="001050A6"/>
    <w:rsid w:val="001059E6"/>
    <w:rsid w:val="00106963"/>
    <w:rsid w:val="00107EB1"/>
    <w:rsid w:val="001109CE"/>
    <w:rsid w:val="00110F63"/>
    <w:rsid w:val="00112D9E"/>
    <w:rsid w:val="00112F1A"/>
    <w:rsid w:val="001139C7"/>
    <w:rsid w:val="00113FA8"/>
    <w:rsid w:val="00116994"/>
    <w:rsid w:val="00116A4E"/>
    <w:rsid w:val="00117AF9"/>
    <w:rsid w:val="00117D97"/>
    <w:rsid w:val="0012102B"/>
    <w:rsid w:val="0012111A"/>
    <w:rsid w:val="0012305E"/>
    <w:rsid w:val="001235FF"/>
    <w:rsid w:val="00123DFD"/>
    <w:rsid w:val="00126017"/>
    <w:rsid w:val="001266B0"/>
    <w:rsid w:val="001278A0"/>
    <w:rsid w:val="001324B1"/>
    <w:rsid w:val="00132BD7"/>
    <w:rsid w:val="00133B7B"/>
    <w:rsid w:val="00134D53"/>
    <w:rsid w:val="00135709"/>
    <w:rsid w:val="00136260"/>
    <w:rsid w:val="00136717"/>
    <w:rsid w:val="00140142"/>
    <w:rsid w:val="001429F3"/>
    <w:rsid w:val="00142B7E"/>
    <w:rsid w:val="0014304B"/>
    <w:rsid w:val="00143933"/>
    <w:rsid w:val="00145075"/>
    <w:rsid w:val="001460C3"/>
    <w:rsid w:val="00152A9F"/>
    <w:rsid w:val="00153629"/>
    <w:rsid w:val="001539C8"/>
    <w:rsid w:val="00154AC4"/>
    <w:rsid w:val="00156628"/>
    <w:rsid w:val="00156EB3"/>
    <w:rsid w:val="00157B51"/>
    <w:rsid w:val="001602D4"/>
    <w:rsid w:val="0016098A"/>
    <w:rsid w:val="00162B3E"/>
    <w:rsid w:val="001633DA"/>
    <w:rsid w:val="00165881"/>
    <w:rsid w:val="00165B9F"/>
    <w:rsid w:val="00166FD9"/>
    <w:rsid w:val="00171244"/>
    <w:rsid w:val="001719D2"/>
    <w:rsid w:val="0017215E"/>
    <w:rsid w:val="001741A0"/>
    <w:rsid w:val="00175FA0"/>
    <w:rsid w:val="00181134"/>
    <w:rsid w:val="00182370"/>
    <w:rsid w:val="00182A28"/>
    <w:rsid w:val="00186387"/>
    <w:rsid w:val="00186D42"/>
    <w:rsid w:val="00186FDB"/>
    <w:rsid w:val="001871C0"/>
    <w:rsid w:val="001876F1"/>
    <w:rsid w:val="00192562"/>
    <w:rsid w:val="00194CD0"/>
    <w:rsid w:val="00196E76"/>
    <w:rsid w:val="001A062C"/>
    <w:rsid w:val="001A1534"/>
    <w:rsid w:val="001A2C81"/>
    <w:rsid w:val="001A30C3"/>
    <w:rsid w:val="001A58F8"/>
    <w:rsid w:val="001A6969"/>
    <w:rsid w:val="001A78FE"/>
    <w:rsid w:val="001A7E7D"/>
    <w:rsid w:val="001B14C8"/>
    <w:rsid w:val="001B3F71"/>
    <w:rsid w:val="001B4163"/>
    <w:rsid w:val="001B49C9"/>
    <w:rsid w:val="001B647C"/>
    <w:rsid w:val="001B76FE"/>
    <w:rsid w:val="001C24F7"/>
    <w:rsid w:val="001C3886"/>
    <w:rsid w:val="001C4F79"/>
    <w:rsid w:val="001C5EDF"/>
    <w:rsid w:val="001C624F"/>
    <w:rsid w:val="001C7DDB"/>
    <w:rsid w:val="001D025E"/>
    <w:rsid w:val="001D115C"/>
    <w:rsid w:val="001D1475"/>
    <w:rsid w:val="001D2A04"/>
    <w:rsid w:val="001D4CBD"/>
    <w:rsid w:val="001D657A"/>
    <w:rsid w:val="001D65FD"/>
    <w:rsid w:val="001D6D22"/>
    <w:rsid w:val="001E2735"/>
    <w:rsid w:val="001E29F0"/>
    <w:rsid w:val="001E3855"/>
    <w:rsid w:val="001E6664"/>
    <w:rsid w:val="001E7B79"/>
    <w:rsid w:val="001F0608"/>
    <w:rsid w:val="001F0F91"/>
    <w:rsid w:val="001F168B"/>
    <w:rsid w:val="001F3148"/>
    <w:rsid w:val="001F390E"/>
    <w:rsid w:val="001F396C"/>
    <w:rsid w:val="001F61E3"/>
    <w:rsid w:val="001F6DAA"/>
    <w:rsid w:val="001F7831"/>
    <w:rsid w:val="0020059F"/>
    <w:rsid w:val="00200CC1"/>
    <w:rsid w:val="00200DF0"/>
    <w:rsid w:val="00201729"/>
    <w:rsid w:val="00201F2A"/>
    <w:rsid w:val="00202A69"/>
    <w:rsid w:val="002031F0"/>
    <w:rsid w:val="0020346A"/>
    <w:rsid w:val="00204045"/>
    <w:rsid w:val="00204599"/>
    <w:rsid w:val="002068A4"/>
    <w:rsid w:val="0020712B"/>
    <w:rsid w:val="0020741B"/>
    <w:rsid w:val="0021201B"/>
    <w:rsid w:val="00212026"/>
    <w:rsid w:val="0021450F"/>
    <w:rsid w:val="0021762A"/>
    <w:rsid w:val="00222427"/>
    <w:rsid w:val="00222670"/>
    <w:rsid w:val="002226C2"/>
    <w:rsid w:val="0022606D"/>
    <w:rsid w:val="00231728"/>
    <w:rsid w:val="002318E6"/>
    <w:rsid w:val="00234BB9"/>
    <w:rsid w:val="00236120"/>
    <w:rsid w:val="00236745"/>
    <w:rsid w:val="002374FD"/>
    <w:rsid w:val="002412DD"/>
    <w:rsid w:val="00242200"/>
    <w:rsid w:val="002434AA"/>
    <w:rsid w:val="002449A9"/>
    <w:rsid w:val="00247F89"/>
    <w:rsid w:val="0025068F"/>
    <w:rsid w:val="00251976"/>
    <w:rsid w:val="002520B5"/>
    <w:rsid w:val="00252EBA"/>
    <w:rsid w:val="002544E4"/>
    <w:rsid w:val="0025462C"/>
    <w:rsid w:val="0025685B"/>
    <w:rsid w:val="00256B06"/>
    <w:rsid w:val="002610D8"/>
    <w:rsid w:val="0026343E"/>
    <w:rsid w:val="00266985"/>
    <w:rsid w:val="00270FA2"/>
    <w:rsid w:val="00272555"/>
    <w:rsid w:val="0027268F"/>
    <w:rsid w:val="00272C91"/>
    <w:rsid w:val="002738C8"/>
    <w:rsid w:val="002747EC"/>
    <w:rsid w:val="002768A2"/>
    <w:rsid w:val="00276CD7"/>
    <w:rsid w:val="00276DCF"/>
    <w:rsid w:val="002770C2"/>
    <w:rsid w:val="00277898"/>
    <w:rsid w:val="00280DDB"/>
    <w:rsid w:val="00283738"/>
    <w:rsid w:val="00284194"/>
    <w:rsid w:val="00284BD2"/>
    <w:rsid w:val="002855BF"/>
    <w:rsid w:val="00285FFA"/>
    <w:rsid w:val="00287934"/>
    <w:rsid w:val="00287E0A"/>
    <w:rsid w:val="00290264"/>
    <w:rsid w:val="00290883"/>
    <w:rsid w:val="00291DB8"/>
    <w:rsid w:val="00293F3E"/>
    <w:rsid w:val="002942EE"/>
    <w:rsid w:val="002946FE"/>
    <w:rsid w:val="00295689"/>
    <w:rsid w:val="00296556"/>
    <w:rsid w:val="00297AFB"/>
    <w:rsid w:val="002A13AD"/>
    <w:rsid w:val="002A16AA"/>
    <w:rsid w:val="002A1991"/>
    <w:rsid w:val="002A2856"/>
    <w:rsid w:val="002A2C88"/>
    <w:rsid w:val="002A2DEE"/>
    <w:rsid w:val="002A32FE"/>
    <w:rsid w:val="002A439F"/>
    <w:rsid w:val="002A49E1"/>
    <w:rsid w:val="002A56A7"/>
    <w:rsid w:val="002A6543"/>
    <w:rsid w:val="002A7F55"/>
    <w:rsid w:val="002B0BE1"/>
    <w:rsid w:val="002B16B4"/>
    <w:rsid w:val="002B178B"/>
    <w:rsid w:val="002B1A68"/>
    <w:rsid w:val="002B1F0D"/>
    <w:rsid w:val="002B2551"/>
    <w:rsid w:val="002B36C8"/>
    <w:rsid w:val="002B72BE"/>
    <w:rsid w:val="002B7C06"/>
    <w:rsid w:val="002C003E"/>
    <w:rsid w:val="002C2B4A"/>
    <w:rsid w:val="002C2BE0"/>
    <w:rsid w:val="002C37A1"/>
    <w:rsid w:val="002C4552"/>
    <w:rsid w:val="002C4F0B"/>
    <w:rsid w:val="002C5B22"/>
    <w:rsid w:val="002C6C57"/>
    <w:rsid w:val="002C6E09"/>
    <w:rsid w:val="002D0388"/>
    <w:rsid w:val="002D1A9B"/>
    <w:rsid w:val="002D2135"/>
    <w:rsid w:val="002D260F"/>
    <w:rsid w:val="002D2B9A"/>
    <w:rsid w:val="002D657E"/>
    <w:rsid w:val="002D7326"/>
    <w:rsid w:val="002D7944"/>
    <w:rsid w:val="002E18B7"/>
    <w:rsid w:val="002E3979"/>
    <w:rsid w:val="002E4C78"/>
    <w:rsid w:val="002E507C"/>
    <w:rsid w:val="002E65D9"/>
    <w:rsid w:val="002E6FAA"/>
    <w:rsid w:val="002E7007"/>
    <w:rsid w:val="002F0029"/>
    <w:rsid w:val="002F0D22"/>
    <w:rsid w:val="002F16D2"/>
    <w:rsid w:val="002F1B56"/>
    <w:rsid w:val="002F3479"/>
    <w:rsid w:val="002F37CE"/>
    <w:rsid w:val="002F391D"/>
    <w:rsid w:val="002F3BE7"/>
    <w:rsid w:val="002F5BAC"/>
    <w:rsid w:val="002F5D9A"/>
    <w:rsid w:val="002F60F4"/>
    <w:rsid w:val="002F7544"/>
    <w:rsid w:val="0030007F"/>
    <w:rsid w:val="00300126"/>
    <w:rsid w:val="003004E8"/>
    <w:rsid w:val="003047F1"/>
    <w:rsid w:val="0030494B"/>
    <w:rsid w:val="00304D4B"/>
    <w:rsid w:val="00306D2C"/>
    <w:rsid w:val="0030797A"/>
    <w:rsid w:val="00310E04"/>
    <w:rsid w:val="00312165"/>
    <w:rsid w:val="00312AB2"/>
    <w:rsid w:val="00314069"/>
    <w:rsid w:val="003172DC"/>
    <w:rsid w:val="00317D31"/>
    <w:rsid w:val="00320C0C"/>
    <w:rsid w:val="0032278F"/>
    <w:rsid w:val="0032313C"/>
    <w:rsid w:val="00323F73"/>
    <w:rsid w:val="00325AE3"/>
    <w:rsid w:val="00326069"/>
    <w:rsid w:val="00326766"/>
    <w:rsid w:val="00326806"/>
    <w:rsid w:val="00326AD8"/>
    <w:rsid w:val="00327B1A"/>
    <w:rsid w:val="003302EE"/>
    <w:rsid w:val="00331271"/>
    <w:rsid w:val="003321DB"/>
    <w:rsid w:val="00332EB7"/>
    <w:rsid w:val="0033404F"/>
    <w:rsid w:val="00334065"/>
    <w:rsid w:val="0034104C"/>
    <w:rsid w:val="00342D03"/>
    <w:rsid w:val="00343F0B"/>
    <w:rsid w:val="003458A7"/>
    <w:rsid w:val="0034751C"/>
    <w:rsid w:val="00347967"/>
    <w:rsid w:val="00350301"/>
    <w:rsid w:val="00350BA8"/>
    <w:rsid w:val="00351EDA"/>
    <w:rsid w:val="00352E36"/>
    <w:rsid w:val="0035462D"/>
    <w:rsid w:val="00357977"/>
    <w:rsid w:val="0036031B"/>
    <w:rsid w:val="00361218"/>
    <w:rsid w:val="00363433"/>
    <w:rsid w:val="003637B2"/>
    <w:rsid w:val="0036393C"/>
    <w:rsid w:val="00363E91"/>
    <w:rsid w:val="00364B41"/>
    <w:rsid w:val="00364C87"/>
    <w:rsid w:val="0036757B"/>
    <w:rsid w:val="0037006A"/>
    <w:rsid w:val="00370240"/>
    <w:rsid w:val="003738D0"/>
    <w:rsid w:val="00376AD4"/>
    <w:rsid w:val="00377171"/>
    <w:rsid w:val="00377619"/>
    <w:rsid w:val="00377BC6"/>
    <w:rsid w:val="003818B1"/>
    <w:rsid w:val="00383096"/>
    <w:rsid w:val="003850E7"/>
    <w:rsid w:val="003859D5"/>
    <w:rsid w:val="00385CE3"/>
    <w:rsid w:val="003867C7"/>
    <w:rsid w:val="00387472"/>
    <w:rsid w:val="00387CE0"/>
    <w:rsid w:val="00391355"/>
    <w:rsid w:val="00395ACD"/>
    <w:rsid w:val="00395EE3"/>
    <w:rsid w:val="0039706A"/>
    <w:rsid w:val="003A0D5B"/>
    <w:rsid w:val="003A1324"/>
    <w:rsid w:val="003A1B08"/>
    <w:rsid w:val="003A225B"/>
    <w:rsid w:val="003A41EF"/>
    <w:rsid w:val="003B0C1F"/>
    <w:rsid w:val="003B0E06"/>
    <w:rsid w:val="003B1583"/>
    <w:rsid w:val="003B1882"/>
    <w:rsid w:val="003B272C"/>
    <w:rsid w:val="003B2B44"/>
    <w:rsid w:val="003B2F50"/>
    <w:rsid w:val="003B3C39"/>
    <w:rsid w:val="003B40AD"/>
    <w:rsid w:val="003B476E"/>
    <w:rsid w:val="003B51E5"/>
    <w:rsid w:val="003B65F6"/>
    <w:rsid w:val="003B7CE5"/>
    <w:rsid w:val="003C0421"/>
    <w:rsid w:val="003C2671"/>
    <w:rsid w:val="003C2E1D"/>
    <w:rsid w:val="003C34CC"/>
    <w:rsid w:val="003C4E37"/>
    <w:rsid w:val="003C5755"/>
    <w:rsid w:val="003C6521"/>
    <w:rsid w:val="003C6A64"/>
    <w:rsid w:val="003D022E"/>
    <w:rsid w:val="003D3192"/>
    <w:rsid w:val="003D36ED"/>
    <w:rsid w:val="003D45E7"/>
    <w:rsid w:val="003D465B"/>
    <w:rsid w:val="003D4774"/>
    <w:rsid w:val="003D68C6"/>
    <w:rsid w:val="003D6DD8"/>
    <w:rsid w:val="003E0F0F"/>
    <w:rsid w:val="003E16BE"/>
    <w:rsid w:val="003E255C"/>
    <w:rsid w:val="003E26E5"/>
    <w:rsid w:val="003E2C15"/>
    <w:rsid w:val="003E46DB"/>
    <w:rsid w:val="003E49AB"/>
    <w:rsid w:val="003E6F0E"/>
    <w:rsid w:val="003F22DA"/>
    <w:rsid w:val="003F24A2"/>
    <w:rsid w:val="003F253F"/>
    <w:rsid w:val="003F2934"/>
    <w:rsid w:val="003F2DE4"/>
    <w:rsid w:val="003F2E00"/>
    <w:rsid w:val="003F34C1"/>
    <w:rsid w:val="003F4E28"/>
    <w:rsid w:val="003F5156"/>
    <w:rsid w:val="003F6878"/>
    <w:rsid w:val="003F76F8"/>
    <w:rsid w:val="004006E8"/>
    <w:rsid w:val="00400C55"/>
    <w:rsid w:val="00401855"/>
    <w:rsid w:val="00401D76"/>
    <w:rsid w:val="00401F58"/>
    <w:rsid w:val="00401F76"/>
    <w:rsid w:val="00403271"/>
    <w:rsid w:val="0040365C"/>
    <w:rsid w:val="00403779"/>
    <w:rsid w:val="00404485"/>
    <w:rsid w:val="00404ACA"/>
    <w:rsid w:val="00404B30"/>
    <w:rsid w:val="004051BC"/>
    <w:rsid w:val="00405380"/>
    <w:rsid w:val="00405FB6"/>
    <w:rsid w:val="004079BA"/>
    <w:rsid w:val="00410297"/>
    <w:rsid w:val="00411675"/>
    <w:rsid w:val="00412204"/>
    <w:rsid w:val="0041430B"/>
    <w:rsid w:val="00420C7C"/>
    <w:rsid w:val="00420F64"/>
    <w:rsid w:val="00426D11"/>
    <w:rsid w:val="00427907"/>
    <w:rsid w:val="004279C0"/>
    <w:rsid w:val="00427F92"/>
    <w:rsid w:val="00432677"/>
    <w:rsid w:val="00432A5C"/>
    <w:rsid w:val="00434CDA"/>
    <w:rsid w:val="004351D8"/>
    <w:rsid w:val="00435B3B"/>
    <w:rsid w:val="0043618D"/>
    <w:rsid w:val="004369D0"/>
    <w:rsid w:val="0044022D"/>
    <w:rsid w:val="00440D0A"/>
    <w:rsid w:val="00440D27"/>
    <w:rsid w:val="004414EF"/>
    <w:rsid w:val="00442BE2"/>
    <w:rsid w:val="00444834"/>
    <w:rsid w:val="0044567A"/>
    <w:rsid w:val="004502BF"/>
    <w:rsid w:val="00450A39"/>
    <w:rsid w:val="00450DB4"/>
    <w:rsid w:val="004517DA"/>
    <w:rsid w:val="00451AF1"/>
    <w:rsid w:val="0045276B"/>
    <w:rsid w:val="004528A4"/>
    <w:rsid w:val="00452F63"/>
    <w:rsid w:val="00453077"/>
    <w:rsid w:val="00453AFE"/>
    <w:rsid w:val="00454684"/>
    <w:rsid w:val="00456ACA"/>
    <w:rsid w:val="00456C97"/>
    <w:rsid w:val="00457D08"/>
    <w:rsid w:val="0046154D"/>
    <w:rsid w:val="00461744"/>
    <w:rsid w:val="004640AB"/>
    <w:rsid w:val="00464B83"/>
    <w:rsid w:val="004650DC"/>
    <w:rsid w:val="00465587"/>
    <w:rsid w:val="004657E5"/>
    <w:rsid w:val="00466581"/>
    <w:rsid w:val="00466858"/>
    <w:rsid w:val="00470BF2"/>
    <w:rsid w:val="00472CB2"/>
    <w:rsid w:val="004748D7"/>
    <w:rsid w:val="00474EDD"/>
    <w:rsid w:val="00474FC4"/>
    <w:rsid w:val="004760BB"/>
    <w:rsid w:val="00477455"/>
    <w:rsid w:val="00484F8A"/>
    <w:rsid w:val="00486979"/>
    <w:rsid w:val="00491C87"/>
    <w:rsid w:val="00493090"/>
    <w:rsid w:val="00494EE3"/>
    <w:rsid w:val="00497402"/>
    <w:rsid w:val="00497C05"/>
    <w:rsid w:val="004A01F8"/>
    <w:rsid w:val="004A0561"/>
    <w:rsid w:val="004A1F7B"/>
    <w:rsid w:val="004A3C1D"/>
    <w:rsid w:val="004A3F17"/>
    <w:rsid w:val="004A6F04"/>
    <w:rsid w:val="004B137B"/>
    <w:rsid w:val="004B1886"/>
    <w:rsid w:val="004B1A05"/>
    <w:rsid w:val="004B500F"/>
    <w:rsid w:val="004B5116"/>
    <w:rsid w:val="004B57B5"/>
    <w:rsid w:val="004B5CC7"/>
    <w:rsid w:val="004B6733"/>
    <w:rsid w:val="004B673D"/>
    <w:rsid w:val="004B787E"/>
    <w:rsid w:val="004B79EB"/>
    <w:rsid w:val="004C0210"/>
    <w:rsid w:val="004C1EBA"/>
    <w:rsid w:val="004C223E"/>
    <w:rsid w:val="004C2831"/>
    <w:rsid w:val="004C44D2"/>
    <w:rsid w:val="004C68DC"/>
    <w:rsid w:val="004D1EDF"/>
    <w:rsid w:val="004D2B62"/>
    <w:rsid w:val="004D2DA0"/>
    <w:rsid w:val="004D3578"/>
    <w:rsid w:val="004D380D"/>
    <w:rsid w:val="004D56A1"/>
    <w:rsid w:val="004D6219"/>
    <w:rsid w:val="004D734A"/>
    <w:rsid w:val="004E01FD"/>
    <w:rsid w:val="004E131A"/>
    <w:rsid w:val="004E213A"/>
    <w:rsid w:val="004E2C5A"/>
    <w:rsid w:val="004E3CCC"/>
    <w:rsid w:val="004E6559"/>
    <w:rsid w:val="004E695F"/>
    <w:rsid w:val="004E6B34"/>
    <w:rsid w:val="004F08F5"/>
    <w:rsid w:val="004F0A83"/>
    <w:rsid w:val="004F3AF7"/>
    <w:rsid w:val="005000DA"/>
    <w:rsid w:val="00501138"/>
    <w:rsid w:val="00502F73"/>
    <w:rsid w:val="00503171"/>
    <w:rsid w:val="00505A86"/>
    <w:rsid w:val="00506C28"/>
    <w:rsid w:val="00511979"/>
    <w:rsid w:val="00511AA5"/>
    <w:rsid w:val="005141CC"/>
    <w:rsid w:val="00514524"/>
    <w:rsid w:val="0051621C"/>
    <w:rsid w:val="005209EB"/>
    <w:rsid w:val="005236FC"/>
    <w:rsid w:val="005240E2"/>
    <w:rsid w:val="00524F84"/>
    <w:rsid w:val="00526180"/>
    <w:rsid w:val="00527CAE"/>
    <w:rsid w:val="00530A17"/>
    <w:rsid w:val="00534DA0"/>
    <w:rsid w:val="005357CF"/>
    <w:rsid w:val="00535F30"/>
    <w:rsid w:val="00536A50"/>
    <w:rsid w:val="00540293"/>
    <w:rsid w:val="0054076D"/>
    <w:rsid w:val="00542538"/>
    <w:rsid w:val="00542DE6"/>
    <w:rsid w:val="00543E6C"/>
    <w:rsid w:val="005441F2"/>
    <w:rsid w:val="005451D1"/>
    <w:rsid w:val="005460B7"/>
    <w:rsid w:val="005472DA"/>
    <w:rsid w:val="0055187F"/>
    <w:rsid w:val="00552F3B"/>
    <w:rsid w:val="00552FC0"/>
    <w:rsid w:val="0055309F"/>
    <w:rsid w:val="00553E83"/>
    <w:rsid w:val="00554168"/>
    <w:rsid w:val="0055472F"/>
    <w:rsid w:val="0055603A"/>
    <w:rsid w:val="00556283"/>
    <w:rsid w:val="00562095"/>
    <w:rsid w:val="00562184"/>
    <w:rsid w:val="00562AD0"/>
    <w:rsid w:val="00563D10"/>
    <w:rsid w:val="0056412E"/>
    <w:rsid w:val="00564FCE"/>
    <w:rsid w:val="0056501B"/>
    <w:rsid w:val="00565087"/>
    <w:rsid w:val="0056573F"/>
    <w:rsid w:val="00567C3D"/>
    <w:rsid w:val="00567E1A"/>
    <w:rsid w:val="00567F39"/>
    <w:rsid w:val="005703D3"/>
    <w:rsid w:val="00570DE0"/>
    <w:rsid w:val="00571FEF"/>
    <w:rsid w:val="0057300A"/>
    <w:rsid w:val="005733DD"/>
    <w:rsid w:val="005736DE"/>
    <w:rsid w:val="00574AEC"/>
    <w:rsid w:val="005751BC"/>
    <w:rsid w:val="005766F6"/>
    <w:rsid w:val="00577678"/>
    <w:rsid w:val="00577E87"/>
    <w:rsid w:val="00580FC8"/>
    <w:rsid w:val="00582C6B"/>
    <w:rsid w:val="00584225"/>
    <w:rsid w:val="00584E57"/>
    <w:rsid w:val="0058564F"/>
    <w:rsid w:val="005856C1"/>
    <w:rsid w:val="00586221"/>
    <w:rsid w:val="0058663F"/>
    <w:rsid w:val="00591536"/>
    <w:rsid w:val="00591B57"/>
    <w:rsid w:val="00592AB2"/>
    <w:rsid w:val="00593314"/>
    <w:rsid w:val="005933B3"/>
    <w:rsid w:val="00594D3F"/>
    <w:rsid w:val="00594DE7"/>
    <w:rsid w:val="00595AAB"/>
    <w:rsid w:val="00596882"/>
    <w:rsid w:val="00596B8A"/>
    <w:rsid w:val="00596E87"/>
    <w:rsid w:val="0059716C"/>
    <w:rsid w:val="005A0E2C"/>
    <w:rsid w:val="005A1F91"/>
    <w:rsid w:val="005A39F6"/>
    <w:rsid w:val="005A3B41"/>
    <w:rsid w:val="005A7263"/>
    <w:rsid w:val="005A7CAB"/>
    <w:rsid w:val="005B0170"/>
    <w:rsid w:val="005B260D"/>
    <w:rsid w:val="005B30C0"/>
    <w:rsid w:val="005B404F"/>
    <w:rsid w:val="005B70A4"/>
    <w:rsid w:val="005B71FE"/>
    <w:rsid w:val="005B73A3"/>
    <w:rsid w:val="005C0D20"/>
    <w:rsid w:val="005C20A4"/>
    <w:rsid w:val="005C3ACC"/>
    <w:rsid w:val="005C3C85"/>
    <w:rsid w:val="005C3E2C"/>
    <w:rsid w:val="005C7B43"/>
    <w:rsid w:val="005D12B1"/>
    <w:rsid w:val="005D12D0"/>
    <w:rsid w:val="005D1412"/>
    <w:rsid w:val="005D19B9"/>
    <w:rsid w:val="005D23E8"/>
    <w:rsid w:val="005D3B4D"/>
    <w:rsid w:val="005D5BCC"/>
    <w:rsid w:val="005D6D30"/>
    <w:rsid w:val="005D72CA"/>
    <w:rsid w:val="005D7A04"/>
    <w:rsid w:val="005E0BA2"/>
    <w:rsid w:val="005E1F72"/>
    <w:rsid w:val="005E3BBD"/>
    <w:rsid w:val="005E4AF2"/>
    <w:rsid w:val="005E4CFD"/>
    <w:rsid w:val="005E62EC"/>
    <w:rsid w:val="005E6CDD"/>
    <w:rsid w:val="005E72DD"/>
    <w:rsid w:val="005E7E5A"/>
    <w:rsid w:val="005F1BC5"/>
    <w:rsid w:val="005F218C"/>
    <w:rsid w:val="005F3C5D"/>
    <w:rsid w:val="005F4EE1"/>
    <w:rsid w:val="005F5320"/>
    <w:rsid w:val="005F5620"/>
    <w:rsid w:val="005F642D"/>
    <w:rsid w:val="006000C7"/>
    <w:rsid w:val="006010E9"/>
    <w:rsid w:val="00601386"/>
    <w:rsid w:val="00602904"/>
    <w:rsid w:val="00604573"/>
    <w:rsid w:val="00605095"/>
    <w:rsid w:val="00607355"/>
    <w:rsid w:val="00607FEF"/>
    <w:rsid w:val="00611566"/>
    <w:rsid w:val="00611D2F"/>
    <w:rsid w:val="00613E61"/>
    <w:rsid w:val="006145E9"/>
    <w:rsid w:val="006151C9"/>
    <w:rsid w:val="006175E8"/>
    <w:rsid w:val="00623F50"/>
    <w:rsid w:val="00624018"/>
    <w:rsid w:val="00625064"/>
    <w:rsid w:val="0062615E"/>
    <w:rsid w:val="006263ED"/>
    <w:rsid w:val="006313DC"/>
    <w:rsid w:val="00632AFE"/>
    <w:rsid w:val="00635F1F"/>
    <w:rsid w:val="00636862"/>
    <w:rsid w:val="00636E0D"/>
    <w:rsid w:val="00637173"/>
    <w:rsid w:val="00642A82"/>
    <w:rsid w:val="0064324B"/>
    <w:rsid w:val="00643E16"/>
    <w:rsid w:val="00644791"/>
    <w:rsid w:val="006450EF"/>
    <w:rsid w:val="0064558D"/>
    <w:rsid w:val="00646D99"/>
    <w:rsid w:val="00646DE7"/>
    <w:rsid w:val="00647AFC"/>
    <w:rsid w:val="006500D9"/>
    <w:rsid w:val="00651319"/>
    <w:rsid w:val="00651C23"/>
    <w:rsid w:val="0065212B"/>
    <w:rsid w:val="00652328"/>
    <w:rsid w:val="00652FC7"/>
    <w:rsid w:val="006549D2"/>
    <w:rsid w:val="00654AD7"/>
    <w:rsid w:val="006559C5"/>
    <w:rsid w:val="00655A5A"/>
    <w:rsid w:val="00655B22"/>
    <w:rsid w:val="00655B3E"/>
    <w:rsid w:val="006567FE"/>
    <w:rsid w:val="00656910"/>
    <w:rsid w:val="0065721C"/>
    <w:rsid w:val="00661479"/>
    <w:rsid w:val="00662480"/>
    <w:rsid w:val="006625B4"/>
    <w:rsid w:val="00662615"/>
    <w:rsid w:val="0066769B"/>
    <w:rsid w:val="00672652"/>
    <w:rsid w:val="00672EAB"/>
    <w:rsid w:val="006739C6"/>
    <w:rsid w:val="006739D7"/>
    <w:rsid w:val="0067504D"/>
    <w:rsid w:val="00675FCE"/>
    <w:rsid w:val="00676156"/>
    <w:rsid w:val="006767CC"/>
    <w:rsid w:val="00676A61"/>
    <w:rsid w:val="00676F4D"/>
    <w:rsid w:val="00680AD3"/>
    <w:rsid w:val="00681001"/>
    <w:rsid w:val="00681AFF"/>
    <w:rsid w:val="006833CC"/>
    <w:rsid w:val="006849F9"/>
    <w:rsid w:val="00685824"/>
    <w:rsid w:val="00687931"/>
    <w:rsid w:val="00691F4D"/>
    <w:rsid w:val="006923C7"/>
    <w:rsid w:val="00693077"/>
    <w:rsid w:val="00694AB9"/>
    <w:rsid w:val="0069542D"/>
    <w:rsid w:val="006958AA"/>
    <w:rsid w:val="00696876"/>
    <w:rsid w:val="0069733B"/>
    <w:rsid w:val="006A1109"/>
    <w:rsid w:val="006A133D"/>
    <w:rsid w:val="006A4AD3"/>
    <w:rsid w:val="006A5691"/>
    <w:rsid w:val="006A6C18"/>
    <w:rsid w:val="006A6D30"/>
    <w:rsid w:val="006A6F71"/>
    <w:rsid w:val="006B09EE"/>
    <w:rsid w:val="006B4280"/>
    <w:rsid w:val="006B4831"/>
    <w:rsid w:val="006B651C"/>
    <w:rsid w:val="006B7985"/>
    <w:rsid w:val="006C0D8D"/>
    <w:rsid w:val="006C0E9F"/>
    <w:rsid w:val="006C1F4A"/>
    <w:rsid w:val="006C2A36"/>
    <w:rsid w:val="006C2ABD"/>
    <w:rsid w:val="006C33FF"/>
    <w:rsid w:val="006C3CF4"/>
    <w:rsid w:val="006C4D3C"/>
    <w:rsid w:val="006C5D08"/>
    <w:rsid w:val="006C66D8"/>
    <w:rsid w:val="006C777C"/>
    <w:rsid w:val="006C7E53"/>
    <w:rsid w:val="006D0857"/>
    <w:rsid w:val="006D114A"/>
    <w:rsid w:val="006D1E24"/>
    <w:rsid w:val="006D2C34"/>
    <w:rsid w:val="006D3179"/>
    <w:rsid w:val="006D37B6"/>
    <w:rsid w:val="006D424F"/>
    <w:rsid w:val="006D7566"/>
    <w:rsid w:val="006E0A41"/>
    <w:rsid w:val="006E1417"/>
    <w:rsid w:val="006E16CA"/>
    <w:rsid w:val="006E1D39"/>
    <w:rsid w:val="006E2394"/>
    <w:rsid w:val="006E41A6"/>
    <w:rsid w:val="006E4251"/>
    <w:rsid w:val="006E49B4"/>
    <w:rsid w:val="006E5630"/>
    <w:rsid w:val="006E5873"/>
    <w:rsid w:val="006E5EE9"/>
    <w:rsid w:val="006E68DC"/>
    <w:rsid w:val="006F0DB8"/>
    <w:rsid w:val="006F119B"/>
    <w:rsid w:val="006F1DA0"/>
    <w:rsid w:val="006F3221"/>
    <w:rsid w:val="006F38D4"/>
    <w:rsid w:val="006F395E"/>
    <w:rsid w:val="006F496D"/>
    <w:rsid w:val="006F58DF"/>
    <w:rsid w:val="006F5FDB"/>
    <w:rsid w:val="006F634B"/>
    <w:rsid w:val="006F6A2C"/>
    <w:rsid w:val="006F7179"/>
    <w:rsid w:val="00701753"/>
    <w:rsid w:val="00701E87"/>
    <w:rsid w:val="00703E34"/>
    <w:rsid w:val="007049E5"/>
    <w:rsid w:val="00710201"/>
    <w:rsid w:val="00712EA1"/>
    <w:rsid w:val="0071307E"/>
    <w:rsid w:val="00713A78"/>
    <w:rsid w:val="00714420"/>
    <w:rsid w:val="007174E3"/>
    <w:rsid w:val="0072073A"/>
    <w:rsid w:val="00723714"/>
    <w:rsid w:val="00723B24"/>
    <w:rsid w:val="00723F9C"/>
    <w:rsid w:val="00730169"/>
    <w:rsid w:val="007307BF"/>
    <w:rsid w:val="00730C1A"/>
    <w:rsid w:val="00731093"/>
    <w:rsid w:val="00731D38"/>
    <w:rsid w:val="00733DD2"/>
    <w:rsid w:val="00733E50"/>
    <w:rsid w:val="007342B5"/>
    <w:rsid w:val="00734A5B"/>
    <w:rsid w:val="00734DB2"/>
    <w:rsid w:val="00735875"/>
    <w:rsid w:val="00735B8C"/>
    <w:rsid w:val="00740437"/>
    <w:rsid w:val="00740B11"/>
    <w:rsid w:val="007414AF"/>
    <w:rsid w:val="00742E18"/>
    <w:rsid w:val="007444C1"/>
    <w:rsid w:val="00744E76"/>
    <w:rsid w:val="00745C5B"/>
    <w:rsid w:val="007472C6"/>
    <w:rsid w:val="00747A64"/>
    <w:rsid w:val="00750983"/>
    <w:rsid w:val="0075146B"/>
    <w:rsid w:val="00753CCC"/>
    <w:rsid w:val="00753D82"/>
    <w:rsid w:val="0075448A"/>
    <w:rsid w:val="00754828"/>
    <w:rsid w:val="00755BCB"/>
    <w:rsid w:val="00757D40"/>
    <w:rsid w:val="00757D44"/>
    <w:rsid w:val="00757FCD"/>
    <w:rsid w:val="00762AA6"/>
    <w:rsid w:val="00762DDC"/>
    <w:rsid w:val="00764C4C"/>
    <w:rsid w:val="00765487"/>
    <w:rsid w:val="0076629F"/>
    <w:rsid w:val="0076768B"/>
    <w:rsid w:val="0077021C"/>
    <w:rsid w:val="0077134F"/>
    <w:rsid w:val="0077192F"/>
    <w:rsid w:val="00774C29"/>
    <w:rsid w:val="0077608F"/>
    <w:rsid w:val="00777523"/>
    <w:rsid w:val="00777879"/>
    <w:rsid w:val="00777BEE"/>
    <w:rsid w:val="00780C68"/>
    <w:rsid w:val="00780CED"/>
    <w:rsid w:val="007810AC"/>
    <w:rsid w:val="007812A1"/>
    <w:rsid w:val="00781D1D"/>
    <w:rsid w:val="00781F0F"/>
    <w:rsid w:val="007826A4"/>
    <w:rsid w:val="00782A1F"/>
    <w:rsid w:val="0078412B"/>
    <w:rsid w:val="00784552"/>
    <w:rsid w:val="0078476C"/>
    <w:rsid w:val="00785AA9"/>
    <w:rsid w:val="00786E7A"/>
    <w:rsid w:val="0078727C"/>
    <w:rsid w:val="0079049D"/>
    <w:rsid w:val="007908D5"/>
    <w:rsid w:val="007914EF"/>
    <w:rsid w:val="007915AF"/>
    <w:rsid w:val="007926F7"/>
    <w:rsid w:val="00792D4C"/>
    <w:rsid w:val="00793DC5"/>
    <w:rsid w:val="00795197"/>
    <w:rsid w:val="0079653B"/>
    <w:rsid w:val="007A000D"/>
    <w:rsid w:val="007A09E5"/>
    <w:rsid w:val="007A16A3"/>
    <w:rsid w:val="007A3057"/>
    <w:rsid w:val="007A4EF7"/>
    <w:rsid w:val="007B160A"/>
    <w:rsid w:val="007B18D8"/>
    <w:rsid w:val="007B194A"/>
    <w:rsid w:val="007B4C75"/>
    <w:rsid w:val="007C095F"/>
    <w:rsid w:val="007C10E3"/>
    <w:rsid w:val="007C135B"/>
    <w:rsid w:val="007C1CD9"/>
    <w:rsid w:val="007C2DD0"/>
    <w:rsid w:val="007C5EEC"/>
    <w:rsid w:val="007C6A8B"/>
    <w:rsid w:val="007C7C68"/>
    <w:rsid w:val="007D05DF"/>
    <w:rsid w:val="007D2A42"/>
    <w:rsid w:val="007D2CAA"/>
    <w:rsid w:val="007D37CA"/>
    <w:rsid w:val="007D3D08"/>
    <w:rsid w:val="007D427A"/>
    <w:rsid w:val="007E62DF"/>
    <w:rsid w:val="007E6F12"/>
    <w:rsid w:val="007E6F19"/>
    <w:rsid w:val="007F41BA"/>
    <w:rsid w:val="007F473A"/>
    <w:rsid w:val="007F4BA0"/>
    <w:rsid w:val="007F5CD1"/>
    <w:rsid w:val="007F5E19"/>
    <w:rsid w:val="007F6D47"/>
    <w:rsid w:val="007F7F64"/>
    <w:rsid w:val="00802811"/>
    <w:rsid w:val="008028A4"/>
    <w:rsid w:val="00802FC1"/>
    <w:rsid w:val="00804F88"/>
    <w:rsid w:val="00805451"/>
    <w:rsid w:val="0080545E"/>
    <w:rsid w:val="00805F78"/>
    <w:rsid w:val="008060FA"/>
    <w:rsid w:val="00806401"/>
    <w:rsid w:val="00806D7A"/>
    <w:rsid w:val="00806F29"/>
    <w:rsid w:val="00807454"/>
    <w:rsid w:val="00807B6B"/>
    <w:rsid w:val="008102E1"/>
    <w:rsid w:val="00810B6D"/>
    <w:rsid w:val="00812080"/>
    <w:rsid w:val="0081219D"/>
    <w:rsid w:val="0081261E"/>
    <w:rsid w:val="00812763"/>
    <w:rsid w:val="00813245"/>
    <w:rsid w:val="008136FB"/>
    <w:rsid w:val="0081387B"/>
    <w:rsid w:val="00821EBE"/>
    <w:rsid w:val="00822343"/>
    <w:rsid w:val="00822AFF"/>
    <w:rsid w:val="008238E0"/>
    <w:rsid w:val="008241B8"/>
    <w:rsid w:val="00824F0D"/>
    <w:rsid w:val="00825C86"/>
    <w:rsid w:val="00826089"/>
    <w:rsid w:val="008267D2"/>
    <w:rsid w:val="0083065A"/>
    <w:rsid w:val="00832707"/>
    <w:rsid w:val="00833D59"/>
    <w:rsid w:val="00834561"/>
    <w:rsid w:val="00834913"/>
    <w:rsid w:val="00835D88"/>
    <w:rsid w:val="00836AED"/>
    <w:rsid w:val="00837F9E"/>
    <w:rsid w:val="0084342B"/>
    <w:rsid w:val="0084393E"/>
    <w:rsid w:val="00845D4C"/>
    <w:rsid w:val="00845D59"/>
    <w:rsid w:val="00846409"/>
    <w:rsid w:val="008467AB"/>
    <w:rsid w:val="0084759E"/>
    <w:rsid w:val="00847B2F"/>
    <w:rsid w:val="00851B59"/>
    <w:rsid w:val="00854C99"/>
    <w:rsid w:val="00855108"/>
    <w:rsid w:val="008567F4"/>
    <w:rsid w:val="0085706F"/>
    <w:rsid w:val="00860790"/>
    <w:rsid w:val="00864A02"/>
    <w:rsid w:val="008661FF"/>
    <w:rsid w:val="00867C6F"/>
    <w:rsid w:val="00867FA9"/>
    <w:rsid w:val="008701CD"/>
    <w:rsid w:val="00871483"/>
    <w:rsid w:val="008722B5"/>
    <w:rsid w:val="00874E87"/>
    <w:rsid w:val="008768CA"/>
    <w:rsid w:val="00876C6A"/>
    <w:rsid w:val="00877132"/>
    <w:rsid w:val="00877923"/>
    <w:rsid w:val="00877EF9"/>
    <w:rsid w:val="00880559"/>
    <w:rsid w:val="00880BCC"/>
    <w:rsid w:val="00881BCE"/>
    <w:rsid w:val="00883733"/>
    <w:rsid w:val="00883862"/>
    <w:rsid w:val="008842B4"/>
    <w:rsid w:val="008867A8"/>
    <w:rsid w:val="00890197"/>
    <w:rsid w:val="0089033C"/>
    <w:rsid w:val="00890A4F"/>
    <w:rsid w:val="00890CB0"/>
    <w:rsid w:val="0089465E"/>
    <w:rsid w:val="00894D53"/>
    <w:rsid w:val="00896009"/>
    <w:rsid w:val="008978CB"/>
    <w:rsid w:val="008A1B9A"/>
    <w:rsid w:val="008A1C20"/>
    <w:rsid w:val="008A2CFB"/>
    <w:rsid w:val="008A3035"/>
    <w:rsid w:val="008A489B"/>
    <w:rsid w:val="008A62FC"/>
    <w:rsid w:val="008A6A92"/>
    <w:rsid w:val="008B00D7"/>
    <w:rsid w:val="008B11FF"/>
    <w:rsid w:val="008B1853"/>
    <w:rsid w:val="008B2DFF"/>
    <w:rsid w:val="008B31BC"/>
    <w:rsid w:val="008B4702"/>
    <w:rsid w:val="008B4ED9"/>
    <w:rsid w:val="008B5306"/>
    <w:rsid w:val="008B538D"/>
    <w:rsid w:val="008B579C"/>
    <w:rsid w:val="008B5AF5"/>
    <w:rsid w:val="008B5F7C"/>
    <w:rsid w:val="008C0FB9"/>
    <w:rsid w:val="008C1531"/>
    <w:rsid w:val="008C1658"/>
    <w:rsid w:val="008C1E3B"/>
    <w:rsid w:val="008C21EC"/>
    <w:rsid w:val="008C57ED"/>
    <w:rsid w:val="008C6EA1"/>
    <w:rsid w:val="008C6EDC"/>
    <w:rsid w:val="008C70DA"/>
    <w:rsid w:val="008D0A51"/>
    <w:rsid w:val="008D1D98"/>
    <w:rsid w:val="008D2441"/>
    <w:rsid w:val="008D272A"/>
    <w:rsid w:val="008D2E4D"/>
    <w:rsid w:val="008D347E"/>
    <w:rsid w:val="008D3CAF"/>
    <w:rsid w:val="008D57A5"/>
    <w:rsid w:val="008D57EF"/>
    <w:rsid w:val="008D5D0E"/>
    <w:rsid w:val="008E078F"/>
    <w:rsid w:val="008E0A09"/>
    <w:rsid w:val="008E264A"/>
    <w:rsid w:val="008E4CF0"/>
    <w:rsid w:val="008E5717"/>
    <w:rsid w:val="008F008E"/>
    <w:rsid w:val="008F0931"/>
    <w:rsid w:val="008F15CD"/>
    <w:rsid w:val="008F1E86"/>
    <w:rsid w:val="008F396F"/>
    <w:rsid w:val="008F3B3A"/>
    <w:rsid w:val="008F5D82"/>
    <w:rsid w:val="008F60FF"/>
    <w:rsid w:val="008F7365"/>
    <w:rsid w:val="0090019C"/>
    <w:rsid w:val="00900652"/>
    <w:rsid w:val="00900FEE"/>
    <w:rsid w:val="0090271F"/>
    <w:rsid w:val="00902DB9"/>
    <w:rsid w:val="00902F4D"/>
    <w:rsid w:val="0090466A"/>
    <w:rsid w:val="00904F89"/>
    <w:rsid w:val="00905F37"/>
    <w:rsid w:val="00906E04"/>
    <w:rsid w:val="009102B8"/>
    <w:rsid w:val="009104B0"/>
    <w:rsid w:val="00910853"/>
    <w:rsid w:val="00910D59"/>
    <w:rsid w:val="009118A2"/>
    <w:rsid w:val="00911C2E"/>
    <w:rsid w:val="009123DF"/>
    <w:rsid w:val="00913235"/>
    <w:rsid w:val="00913D12"/>
    <w:rsid w:val="00915176"/>
    <w:rsid w:val="00916016"/>
    <w:rsid w:val="00917368"/>
    <w:rsid w:val="00920777"/>
    <w:rsid w:val="00920AE1"/>
    <w:rsid w:val="00920B8C"/>
    <w:rsid w:val="00924016"/>
    <w:rsid w:val="00924EBD"/>
    <w:rsid w:val="0092515D"/>
    <w:rsid w:val="00925B9B"/>
    <w:rsid w:val="00925D4F"/>
    <w:rsid w:val="00926021"/>
    <w:rsid w:val="009273F2"/>
    <w:rsid w:val="00930EDF"/>
    <w:rsid w:val="009319FE"/>
    <w:rsid w:val="00931AA5"/>
    <w:rsid w:val="00931BE3"/>
    <w:rsid w:val="009320A9"/>
    <w:rsid w:val="009329C4"/>
    <w:rsid w:val="009339BE"/>
    <w:rsid w:val="00933BE3"/>
    <w:rsid w:val="00935BBE"/>
    <w:rsid w:val="00936038"/>
    <w:rsid w:val="00936071"/>
    <w:rsid w:val="00937AA3"/>
    <w:rsid w:val="00940212"/>
    <w:rsid w:val="0094048A"/>
    <w:rsid w:val="009412E2"/>
    <w:rsid w:val="00942557"/>
    <w:rsid w:val="00942EC2"/>
    <w:rsid w:val="00944059"/>
    <w:rsid w:val="00944E67"/>
    <w:rsid w:val="00945144"/>
    <w:rsid w:val="009454EB"/>
    <w:rsid w:val="00947F22"/>
    <w:rsid w:val="00950AD7"/>
    <w:rsid w:val="00951140"/>
    <w:rsid w:val="00953FD4"/>
    <w:rsid w:val="00955622"/>
    <w:rsid w:val="009563F2"/>
    <w:rsid w:val="0096031A"/>
    <w:rsid w:val="0096149A"/>
    <w:rsid w:val="00961B32"/>
    <w:rsid w:val="00961BB8"/>
    <w:rsid w:val="00962509"/>
    <w:rsid w:val="009628C7"/>
    <w:rsid w:val="009635F7"/>
    <w:rsid w:val="00966744"/>
    <w:rsid w:val="009673E2"/>
    <w:rsid w:val="00970DB3"/>
    <w:rsid w:val="00971993"/>
    <w:rsid w:val="00972E0D"/>
    <w:rsid w:val="00973461"/>
    <w:rsid w:val="00974633"/>
    <w:rsid w:val="00974811"/>
    <w:rsid w:val="00974BB0"/>
    <w:rsid w:val="009757A4"/>
    <w:rsid w:val="00980C36"/>
    <w:rsid w:val="009817B2"/>
    <w:rsid w:val="0098460F"/>
    <w:rsid w:val="00985627"/>
    <w:rsid w:val="009871A9"/>
    <w:rsid w:val="00987AAF"/>
    <w:rsid w:val="0099085C"/>
    <w:rsid w:val="00990A05"/>
    <w:rsid w:val="00990F02"/>
    <w:rsid w:val="009919FC"/>
    <w:rsid w:val="00992B90"/>
    <w:rsid w:val="009942F4"/>
    <w:rsid w:val="009959D4"/>
    <w:rsid w:val="009962EC"/>
    <w:rsid w:val="00997372"/>
    <w:rsid w:val="00997E83"/>
    <w:rsid w:val="009A0AF3"/>
    <w:rsid w:val="009A0F86"/>
    <w:rsid w:val="009A15A2"/>
    <w:rsid w:val="009A1812"/>
    <w:rsid w:val="009A294A"/>
    <w:rsid w:val="009A454F"/>
    <w:rsid w:val="009A51F6"/>
    <w:rsid w:val="009A6791"/>
    <w:rsid w:val="009A6796"/>
    <w:rsid w:val="009A6927"/>
    <w:rsid w:val="009A6F93"/>
    <w:rsid w:val="009A77AC"/>
    <w:rsid w:val="009B063A"/>
    <w:rsid w:val="009B07CD"/>
    <w:rsid w:val="009B14E3"/>
    <w:rsid w:val="009B223D"/>
    <w:rsid w:val="009B3866"/>
    <w:rsid w:val="009B47A5"/>
    <w:rsid w:val="009B4928"/>
    <w:rsid w:val="009B7D8B"/>
    <w:rsid w:val="009C016C"/>
    <w:rsid w:val="009C19E9"/>
    <w:rsid w:val="009C2573"/>
    <w:rsid w:val="009C258D"/>
    <w:rsid w:val="009C3352"/>
    <w:rsid w:val="009C35B7"/>
    <w:rsid w:val="009C554E"/>
    <w:rsid w:val="009C5F7A"/>
    <w:rsid w:val="009C6C46"/>
    <w:rsid w:val="009C75EF"/>
    <w:rsid w:val="009D07CC"/>
    <w:rsid w:val="009D0878"/>
    <w:rsid w:val="009D0EAA"/>
    <w:rsid w:val="009D239C"/>
    <w:rsid w:val="009D2A2D"/>
    <w:rsid w:val="009D330D"/>
    <w:rsid w:val="009D34E1"/>
    <w:rsid w:val="009D4070"/>
    <w:rsid w:val="009D57AD"/>
    <w:rsid w:val="009D6AC6"/>
    <w:rsid w:val="009D74A6"/>
    <w:rsid w:val="009D78D7"/>
    <w:rsid w:val="009E2182"/>
    <w:rsid w:val="009E2C2E"/>
    <w:rsid w:val="009E2CE2"/>
    <w:rsid w:val="009E4139"/>
    <w:rsid w:val="009E780B"/>
    <w:rsid w:val="009F0EDA"/>
    <w:rsid w:val="009F1419"/>
    <w:rsid w:val="009F186F"/>
    <w:rsid w:val="009F1F13"/>
    <w:rsid w:val="009F2269"/>
    <w:rsid w:val="009F2868"/>
    <w:rsid w:val="009F3566"/>
    <w:rsid w:val="009F5CC0"/>
    <w:rsid w:val="009F6E9A"/>
    <w:rsid w:val="00A00CA7"/>
    <w:rsid w:val="00A0380A"/>
    <w:rsid w:val="00A04613"/>
    <w:rsid w:val="00A04B22"/>
    <w:rsid w:val="00A04B8B"/>
    <w:rsid w:val="00A10F02"/>
    <w:rsid w:val="00A1179D"/>
    <w:rsid w:val="00A12076"/>
    <w:rsid w:val="00A13BBF"/>
    <w:rsid w:val="00A14519"/>
    <w:rsid w:val="00A17B49"/>
    <w:rsid w:val="00A17DAD"/>
    <w:rsid w:val="00A20187"/>
    <w:rsid w:val="00A204CA"/>
    <w:rsid w:val="00A209D6"/>
    <w:rsid w:val="00A2142E"/>
    <w:rsid w:val="00A24A1A"/>
    <w:rsid w:val="00A26014"/>
    <w:rsid w:val="00A26A67"/>
    <w:rsid w:val="00A302CF"/>
    <w:rsid w:val="00A31D9B"/>
    <w:rsid w:val="00A321AD"/>
    <w:rsid w:val="00A333B7"/>
    <w:rsid w:val="00A34251"/>
    <w:rsid w:val="00A346E0"/>
    <w:rsid w:val="00A35291"/>
    <w:rsid w:val="00A36DC9"/>
    <w:rsid w:val="00A40609"/>
    <w:rsid w:val="00A42BBA"/>
    <w:rsid w:val="00A44246"/>
    <w:rsid w:val="00A475E7"/>
    <w:rsid w:val="00A502F3"/>
    <w:rsid w:val="00A50A41"/>
    <w:rsid w:val="00A50A9B"/>
    <w:rsid w:val="00A5131A"/>
    <w:rsid w:val="00A52327"/>
    <w:rsid w:val="00A5280D"/>
    <w:rsid w:val="00A5309B"/>
    <w:rsid w:val="00A53724"/>
    <w:rsid w:val="00A544A5"/>
    <w:rsid w:val="00A54B2B"/>
    <w:rsid w:val="00A55548"/>
    <w:rsid w:val="00A557E3"/>
    <w:rsid w:val="00A55804"/>
    <w:rsid w:val="00A564BA"/>
    <w:rsid w:val="00A56F49"/>
    <w:rsid w:val="00A63F2C"/>
    <w:rsid w:val="00A64059"/>
    <w:rsid w:val="00A64733"/>
    <w:rsid w:val="00A64D27"/>
    <w:rsid w:val="00A65A68"/>
    <w:rsid w:val="00A67A46"/>
    <w:rsid w:val="00A70076"/>
    <w:rsid w:val="00A7023B"/>
    <w:rsid w:val="00A7185D"/>
    <w:rsid w:val="00A71FA8"/>
    <w:rsid w:val="00A72246"/>
    <w:rsid w:val="00A725DA"/>
    <w:rsid w:val="00A73B08"/>
    <w:rsid w:val="00A76CF9"/>
    <w:rsid w:val="00A778A4"/>
    <w:rsid w:val="00A8041F"/>
    <w:rsid w:val="00A80474"/>
    <w:rsid w:val="00A80DE5"/>
    <w:rsid w:val="00A8161C"/>
    <w:rsid w:val="00A8167E"/>
    <w:rsid w:val="00A82346"/>
    <w:rsid w:val="00A82489"/>
    <w:rsid w:val="00A82A6E"/>
    <w:rsid w:val="00A8665B"/>
    <w:rsid w:val="00A866C6"/>
    <w:rsid w:val="00A90FC3"/>
    <w:rsid w:val="00A91CA8"/>
    <w:rsid w:val="00A9243C"/>
    <w:rsid w:val="00A931F0"/>
    <w:rsid w:val="00A95C3E"/>
    <w:rsid w:val="00A9671C"/>
    <w:rsid w:val="00AA1553"/>
    <w:rsid w:val="00AA1707"/>
    <w:rsid w:val="00AA1827"/>
    <w:rsid w:val="00AA4888"/>
    <w:rsid w:val="00AB0012"/>
    <w:rsid w:val="00AB048B"/>
    <w:rsid w:val="00AB13DB"/>
    <w:rsid w:val="00AB19A5"/>
    <w:rsid w:val="00AB1C20"/>
    <w:rsid w:val="00AB2C44"/>
    <w:rsid w:val="00AB32BB"/>
    <w:rsid w:val="00AB41BB"/>
    <w:rsid w:val="00AB502D"/>
    <w:rsid w:val="00AB558B"/>
    <w:rsid w:val="00AB6834"/>
    <w:rsid w:val="00AC1739"/>
    <w:rsid w:val="00AC2644"/>
    <w:rsid w:val="00AC6A85"/>
    <w:rsid w:val="00AC6F4B"/>
    <w:rsid w:val="00AD00C9"/>
    <w:rsid w:val="00AD17F6"/>
    <w:rsid w:val="00AD31F9"/>
    <w:rsid w:val="00AD331E"/>
    <w:rsid w:val="00AD431B"/>
    <w:rsid w:val="00AD44B5"/>
    <w:rsid w:val="00AD4678"/>
    <w:rsid w:val="00AD70B0"/>
    <w:rsid w:val="00AD7200"/>
    <w:rsid w:val="00AE13CB"/>
    <w:rsid w:val="00AE1458"/>
    <w:rsid w:val="00AE44FE"/>
    <w:rsid w:val="00AE45E9"/>
    <w:rsid w:val="00AE6025"/>
    <w:rsid w:val="00AE6550"/>
    <w:rsid w:val="00AF3546"/>
    <w:rsid w:val="00AF4FBA"/>
    <w:rsid w:val="00AF5C49"/>
    <w:rsid w:val="00AF6A3B"/>
    <w:rsid w:val="00AF7544"/>
    <w:rsid w:val="00AF7778"/>
    <w:rsid w:val="00B017A7"/>
    <w:rsid w:val="00B0196E"/>
    <w:rsid w:val="00B02226"/>
    <w:rsid w:val="00B02FE8"/>
    <w:rsid w:val="00B034C4"/>
    <w:rsid w:val="00B05380"/>
    <w:rsid w:val="00B05962"/>
    <w:rsid w:val="00B12005"/>
    <w:rsid w:val="00B125A3"/>
    <w:rsid w:val="00B15449"/>
    <w:rsid w:val="00B158DA"/>
    <w:rsid w:val="00B16378"/>
    <w:rsid w:val="00B16C2F"/>
    <w:rsid w:val="00B16E78"/>
    <w:rsid w:val="00B16F27"/>
    <w:rsid w:val="00B171A1"/>
    <w:rsid w:val="00B222AD"/>
    <w:rsid w:val="00B2415C"/>
    <w:rsid w:val="00B24B61"/>
    <w:rsid w:val="00B27303"/>
    <w:rsid w:val="00B30178"/>
    <w:rsid w:val="00B32829"/>
    <w:rsid w:val="00B41902"/>
    <w:rsid w:val="00B45898"/>
    <w:rsid w:val="00B47FD1"/>
    <w:rsid w:val="00B51299"/>
    <w:rsid w:val="00B515ED"/>
    <w:rsid w:val="00B516BB"/>
    <w:rsid w:val="00B62B8C"/>
    <w:rsid w:val="00B63227"/>
    <w:rsid w:val="00B6345F"/>
    <w:rsid w:val="00B63AB6"/>
    <w:rsid w:val="00B66A39"/>
    <w:rsid w:val="00B676E6"/>
    <w:rsid w:val="00B676F5"/>
    <w:rsid w:val="00B706BB"/>
    <w:rsid w:val="00B7075E"/>
    <w:rsid w:val="00B70D2F"/>
    <w:rsid w:val="00B72AA0"/>
    <w:rsid w:val="00B738D5"/>
    <w:rsid w:val="00B73D89"/>
    <w:rsid w:val="00B77D46"/>
    <w:rsid w:val="00B81CA0"/>
    <w:rsid w:val="00B82B63"/>
    <w:rsid w:val="00B834DD"/>
    <w:rsid w:val="00B836CF"/>
    <w:rsid w:val="00B84AD3"/>
    <w:rsid w:val="00B84DB2"/>
    <w:rsid w:val="00B85FCF"/>
    <w:rsid w:val="00B87D8A"/>
    <w:rsid w:val="00B91140"/>
    <w:rsid w:val="00B91870"/>
    <w:rsid w:val="00B92178"/>
    <w:rsid w:val="00B92306"/>
    <w:rsid w:val="00B9246F"/>
    <w:rsid w:val="00B925AD"/>
    <w:rsid w:val="00B92727"/>
    <w:rsid w:val="00B92D89"/>
    <w:rsid w:val="00B94987"/>
    <w:rsid w:val="00B9563E"/>
    <w:rsid w:val="00B95802"/>
    <w:rsid w:val="00B95FB4"/>
    <w:rsid w:val="00B97224"/>
    <w:rsid w:val="00BA06B3"/>
    <w:rsid w:val="00BA0B64"/>
    <w:rsid w:val="00BA27E4"/>
    <w:rsid w:val="00BA2BAF"/>
    <w:rsid w:val="00BA4C13"/>
    <w:rsid w:val="00BA53EA"/>
    <w:rsid w:val="00BA6042"/>
    <w:rsid w:val="00BA62AC"/>
    <w:rsid w:val="00BA72E8"/>
    <w:rsid w:val="00BB0089"/>
    <w:rsid w:val="00BB0AA8"/>
    <w:rsid w:val="00BB42CA"/>
    <w:rsid w:val="00BB4A75"/>
    <w:rsid w:val="00BB5222"/>
    <w:rsid w:val="00BB5BBB"/>
    <w:rsid w:val="00BB5F02"/>
    <w:rsid w:val="00BB6E1B"/>
    <w:rsid w:val="00BC1B5E"/>
    <w:rsid w:val="00BC2276"/>
    <w:rsid w:val="00BC3555"/>
    <w:rsid w:val="00BC3B6E"/>
    <w:rsid w:val="00BC473C"/>
    <w:rsid w:val="00BC4E63"/>
    <w:rsid w:val="00BC6C5E"/>
    <w:rsid w:val="00BD26C4"/>
    <w:rsid w:val="00BD2C4B"/>
    <w:rsid w:val="00BD2EF8"/>
    <w:rsid w:val="00BD4904"/>
    <w:rsid w:val="00BD51BC"/>
    <w:rsid w:val="00BD6EE3"/>
    <w:rsid w:val="00BD7D50"/>
    <w:rsid w:val="00BE1371"/>
    <w:rsid w:val="00BE1C2F"/>
    <w:rsid w:val="00BE641E"/>
    <w:rsid w:val="00BF0FF9"/>
    <w:rsid w:val="00BF26F0"/>
    <w:rsid w:val="00BF321A"/>
    <w:rsid w:val="00BF388F"/>
    <w:rsid w:val="00BF3A29"/>
    <w:rsid w:val="00BF4F57"/>
    <w:rsid w:val="00BF5DDA"/>
    <w:rsid w:val="00BF5E4D"/>
    <w:rsid w:val="00BF738E"/>
    <w:rsid w:val="00C00BC0"/>
    <w:rsid w:val="00C00E43"/>
    <w:rsid w:val="00C01679"/>
    <w:rsid w:val="00C0186F"/>
    <w:rsid w:val="00C03038"/>
    <w:rsid w:val="00C071E5"/>
    <w:rsid w:val="00C1093A"/>
    <w:rsid w:val="00C12B51"/>
    <w:rsid w:val="00C158E8"/>
    <w:rsid w:val="00C16325"/>
    <w:rsid w:val="00C20E94"/>
    <w:rsid w:val="00C215E8"/>
    <w:rsid w:val="00C222E4"/>
    <w:rsid w:val="00C24650"/>
    <w:rsid w:val="00C25465"/>
    <w:rsid w:val="00C256E0"/>
    <w:rsid w:val="00C261B5"/>
    <w:rsid w:val="00C27CC7"/>
    <w:rsid w:val="00C305EB"/>
    <w:rsid w:val="00C3191C"/>
    <w:rsid w:val="00C31D15"/>
    <w:rsid w:val="00C32C08"/>
    <w:rsid w:val="00C33079"/>
    <w:rsid w:val="00C34203"/>
    <w:rsid w:val="00C35B78"/>
    <w:rsid w:val="00C44644"/>
    <w:rsid w:val="00C46F22"/>
    <w:rsid w:val="00C47495"/>
    <w:rsid w:val="00C5001B"/>
    <w:rsid w:val="00C522D0"/>
    <w:rsid w:val="00C52858"/>
    <w:rsid w:val="00C529F9"/>
    <w:rsid w:val="00C558CE"/>
    <w:rsid w:val="00C57093"/>
    <w:rsid w:val="00C57675"/>
    <w:rsid w:val="00C57A5D"/>
    <w:rsid w:val="00C57D11"/>
    <w:rsid w:val="00C62D9B"/>
    <w:rsid w:val="00C638BD"/>
    <w:rsid w:val="00C64983"/>
    <w:rsid w:val="00C65AAB"/>
    <w:rsid w:val="00C65F6D"/>
    <w:rsid w:val="00C67B98"/>
    <w:rsid w:val="00C7196B"/>
    <w:rsid w:val="00C71F29"/>
    <w:rsid w:val="00C72233"/>
    <w:rsid w:val="00C72FF1"/>
    <w:rsid w:val="00C73D33"/>
    <w:rsid w:val="00C82236"/>
    <w:rsid w:val="00C83A13"/>
    <w:rsid w:val="00C86CEB"/>
    <w:rsid w:val="00C873A6"/>
    <w:rsid w:val="00C87D64"/>
    <w:rsid w:val="00C9033E"/>
    <w:rsid w:val="00C9068C"/>
    <w:rsid w:val="00C90CD7"/>
    <w:rsid w:val="00C90DF3"/>
    <w:rsid w:val="00C91455"/>
    <w:rsid w:val="00C9237D"/>
    <w:rsid w:val="00C9287A"/>
    <w:rsid w:val="00C92967"/>
    <w:rsid w:val="00C92A82"/>
    <w:rsid w:val="00C9340E"/>
    <w:rsid w:val="00C94B3B"/>
    <w:rsid w:val="00C953BB"/>
    <w:rsid w:val="00C979F0"/>
    <w:rsid w:val="00C97B57"/>
    <w:rsid w:val="00CA06A6"/>
    <w:rsid w:val="00CA14A1"/>
    <w:rsid w:val="00CA23E0"/>
    <w:rsid w:val="00CA327F"/>
    <w:rsid w:val="00CA328D"/>
    <w:rsid w:val="00CA32D4"/>
    <w:rsid w:val="00CA3D0C"/>
    <w:rsid w:val="00CA654B"/>
    <w:rsid w:val="00CA7255"/>
    <w:rsid w:val="00CB1552"/>
    <w:rsid w:val="00CB21B5"/>
    <w:rsid w:val="00CB43CC"/>
    <w:rsid w:val="00CB72B8"/>
    <w:rsid w:val="00CC09C3"/>
    <w:rsid w:val="00CC1543"/>
    <w:rsid w:val="00CC155C"/>
    <w:rsid w:val="00CC219A"/>
    <w:rsid w:val="00CC31FD"/>
    <w:rsid w:val="00CC4B78"/>
    <w:rsid w:val="00CD130D"/>
    <w:rsid w:val="00CD2064"/>
    <w:rsid w:val="00CD2840"/>
    <w:rsid w:val="00CD4B7A"/>
    <w:rsid w:val="00CD4C7B"/>
    <w:rsid w:val="00CD6133"/>
    <w:rsid w:val="00CD6572"/>
    <w:rsid w:val="00CD69C3"/>
    <w:rsid w:val="00CE00A2"/>
    <w:rsid w:val="00CE03F7"/>
    <w:rsid w:val="00CE17AF"/>
    <w:rsid w:val="00CE28C7"/>
    <w:rsid w:val="00CE29D8"/>
    <w:rsid w:val="00CE2B5E"/>
    <w:rsid w:val="00CE308D"/>
    <w:rsid w:val="00CE593C"/>
    <w:rsid w:val="00CE61BD"/>
    <w:rsid w:val="00CE63B3"/>
    <w:rsid w:val="00CE64B4"/>
    <w:rsid w:val="00CE7471"/>
    <w:rsid w:val="00CF1486"/>
    <w:rsid w:val="00CF2291"/>
    <w:rsid w:val="00CF2F76"/>
    <w:rsid w:val="00CF4177"/>
    <w:rsid w:val="00CF4A9E"/>
    <w:rsid w:val="00CF6E30"/>
    <w:rsid w:val="00CF7F61"/>
    <w:rsid w:val="00D03BA3"/>
    <w:rsid w:val="00D0472A"/>
    <w:rsid w:val="00D121A5"/>
    <w:rsid w:val="00D12203"/>
    <w:rsid w:val="00D12B31"/>
    <w:rsid w:val="00D1368D"/>
    <w:rsid w:val="00D1375B"/>
    <w:rsid w:val="00D1388F"/>
    <w:rsid w:val="00D13FDB"/>
    <w:rsid w:val="00D14F14"/>
    <w:rsid w:val="00D16274"/>
    <w:rsid w:val="00D17F66"/>
    <w:rsid w:val="00D20C98"/>
    <w:rsid w:val="00D22615"/>
    <w:rsid w:val="00D230A9"/>
    <w:rsid w:val="00D2342E"/>
    <w:rsid w:val="00D234EA"/>
    <w:rsid w:val="00D2359A"/>
    <w:rsid w:val="00D23FED"/>
    <w:rsid w:val="00D240CE"/>
    <w:rsid w:val="00D245DB"/>
    <w:rsid w:val="00D26AED"/>
    <w:rsid w:val="00D302F8"/>
    <w:rsid w:val="00D31036"/>
    <w:rsid w:val="00D314BF"/>
    <w:rsid w:val="00D319EF"/>
    <w:rsid w:val="00D336DA"/>
    <w:rsid w:val="00D337BC"/>
    <w:rsid w:val="00D33B68"/>
    <w:rsid w:val="00D33BE3"/>
    <w:rsid w:val="00D340E4"/>
    <w:rsid w:val="00D34247"/>
    <w:rsid w:val="00D346A2"/>
    <w:rsid w:val="00D352C2"/>
    <w:rsid w:val="00D3764E"/>
    <w:rsid w:val="00D3792D"/>
    <w:rsid w:val="00D457A1"/>
    <w:rsid w:val="00D45E48"/>
    <w:rsid w:val="00D462A0"/>
    <w:rsid w:val="00D46960"/>
    <w:rsid w:val="00D476E3"/>
    <w:rsid w:val="00D47BFC"/>
    <w:rsid w:val="00D52B14"/>
    <w:rsid w:val="00D541E1"/>
    <w:rsid w:val="00D55E47"/>
    <w:rsid w:val="00D55E53"/>
    <w:rsid w:val="00D55FE8"/>
    <w:rsid w:val="00D5622F"/>
    <w:rsid w:val="00D56874"/>
    <w:rsid w:val="00D6024A"/>
    <w:rsid w:val="00D60B64"/>
    <w:rsid w:val="00D62E19"/>
    <w:rsid w:val="00D67B4E"/>
    <w:rsid w:val="00D67BD6"/>
    <w:rsid w:val="00D67CD1"/>
    <w:rsid w:val="00D7004D"/>
    <w:rsid w:val="00D738D6"/>
    <w:rsid w:val="00D74B0D"/>
    <w:rsid w:val="00D74C61"/>
    <w:rsid w:val="00D75999"/>
    <w:rsid w:val="00D759AB"/>
    <w:rsid w:val="00D75B61"/>
    <w:rsid w:val="00D80795"/>
    <w:rsid w:val="00D81047"/>
    <w:rsid w:val="00D815FD"/>
    <w:rsid w:val="00D854BE"/>
    <w:rsid w:val="00D85BC9"/>
    <w:rsid w:val="00D8687B"/>
    <w:rsid w:val="00D86A53"/>
    <w:rsid w:val="00D86E33"/>
    <w:rsid w:val="00D87E00"/>
    <w:rsid w:val="00D9134D"/>
    <w:rsid w:val="00D91AC4"/>
    <w:rsid w:val="00D927B4"/>
    <w:rsid w:val="00D938B6"/>
    <w:rsid w:val="00D93F0E"/>
    <w:rsid w:val="00D94BB2"/>
    <w:rsid w:val="00D96486"/>
    <w:rsid w:val="00D967A1"/>
    <w:rsid w:val="00D9688C"/>
    <w:rsid w:val="00D9697E"/>
    <w:rsid w:val="00D96D11"/>
    <w:rsid w:val="00D96D43"/>
    <w:rsid w:val="00D97BEC"/>
    <w:rsid w:val="00DA0F5A"/>
    <w:rsid w:val="00DA199F"/>
    <w:rsid w:val="00DA1B54"/>
    <w:rsid w:val="00DA26E9"/>
    <w:rsid w:val="00DA4A3E"/>
    <w:rsid w:val="00DA5654"/>
    <w:rsid w:val="00DA570E"/>
    <w:rsid w:val="00DA62A8"/>
    <w:rsid w:val="00DA7A03"/>
    <w:rsid w:val="00DB0DB8"/>
    <w:rsid w:val="00DB1818"/>
    <w:rsid w:val="00DB1DAB"/>
    <w:rsid w:val="00DB2065"/>
    <w:rsid w:val="00DB2FE5"/>
    <w:rsid w:val="00DB5AC5"/>
    <w:rsid w:val="00DB5B27"/>
    <w:rsid w:val="00DB6D80"/>
    <w:rsid w:val="00DB705E"/>
    <w:rsid w:val="00DC0CBB"/>
    <w:rsid w:val="00DC309B"/>
    <w:rsid w:val="00DC4BB6"/>
    <w:rsid w:val="00DC4D29"/>
    <w:rsid w:val="00DC4DA2"/>
    <w:rsid w:val="00DC4FFE"/>
    <w:rsid w:val="00DC5CD9"/>
    <w:rsid w:val="00DD01A9"/>
    <w:rsid w:val="00DD0615"/>
    <w:rsid w:val="00DD06F6"/>
    <w:rsid w:val="00DD1AE2"/>
    <w:rsid w:val="00DD3932"/>
    <w:rsid w:val="00DD4BBB"/>
    <w:rsid w:val="00DD5513"/>
    <w:rsid w:val="00DE00C9"/>
    <w:rsid w:val="00DE38E0"/>
    <w:rsid w:val="00DE4EED"/>
    <w:rsid w:val="00DE68A8"/>
    <w:rsid w:val="00DF0550"/>
    <w:rsid w:val="00DF17B5"/>
    <w:rsid w:val="00DF1E77"/>
    <w:rsid w:val="00DF20F1"/>
    <w:rsid w:val="00DF3B49"/>
    <w:rsid w:val="00DF4044"/>
    <w:rsid w:val="00DF4546"/>
    <w:rsid w:val="00DF5970"/>
    <w:rsid w:val="00DF70E1"/>
    <w:rsid w:val="00DF73B7"/>
    <w:rsid w:val="00E00211"/>
    <w:rsid w:val="00E00867"/>
    <w:rsid w:val="00E016E8"/>
    <w:rsid w:val="00E01AA8"/>
    <w:rsid w:val="00E03589"/>
    <w:rsid w:val="00E05D8A"/>
    <w:rsid w:val="00E069BD"/>
    <w:rsid w:val="00E106D1"/>
    <w:rsid w:val="00E113E8"/>
    <w:rsid w:val="00E11F19"/>
    <w:rsid w:val="00E14247"/>
    <w:rsid w:val="00E14718"/>
    <w:rsid w:val="00E15411"/>
    <w:rsid w:val="00E165F0"/>
    <w:rsid w:val="00E1733E"/>
    <w:rsid w:val="00E1791E"/>
    <w:rsid w:val="00E2040C"/>
    <w:rsid w:val="00E210D7"/>
    <w:rsid w:val="00E229B6"/>
    <w:rsid w:val="00E25939"/>
    <w:rsid w:val="00E25A07"/>
    <w:rsid w:val="00E26865"/>
    <w:rsid w:val="00E30D8D"/>
    <w:rsid w:val="00E34928"/>
    <w:rsid w:val="00E35538"/>
    <w:rsid w:val="00E35A86"/>
    <w:rsid w:val="00E36970"/>
    <w:rsid w:val="00E37784"/>
    <w:rsid w:val="00E37A61"/>
    <w:rsid w:val="00E40742"/>
    <w:rsid w:val="00E40F30"/>
    <w:rsid w:val="00E41605"/>
    <w:rsid w:val="00E41D7F"/>
    <w:rsid w:val="00E41E11"/>
    <w:rsid w:val="00E42636"/>
    <w:rsid w:val="00E43B7E"/>
    <w:rsid w:val="00E46C08"/>
    <w:rsid w:val="00E471CF"/>
    <w:rsid w:val="00E531A1"/>
    <w:rsid w:val="00E53A12"/>
    <w:rsid w:val="00E54B4E"/>
    <w:rsid w:val="00E55091"/>
    <w:rsid w:val="00E55E99"/>
    <w:rsid w:val="00E57371"/>
    <w:rsid w:val="00E61E9B"/>
    <w:rsid w:val="00E62835"/>
    <w:rsid w:val="00E62A4F"/>
    <w:rsid w:val="00E62B04"/>
    <w:rsid w:val="00E635A2"/>
    <w:rsid w:val="00E63680"/>
    <w:rsid w:val="00E6430B"/>
    <w:rsid w:val="00E70C86"/>
    <w:rsid w:val="00E70DED"/>
    <w:rsid w:val="00E712D7"/>
    <w:rsid w:val="00E71757"/>
    <w:rsid w:val="00E76541"/>
    <w:rsid w:val="00E76904"/>
    <w:rsid w:val="00E76F41"/>
    <w:rsid w:val="00E77645"/>
    <w:rsid w:val="00E77ACD"/>
    <w:rsid w:val="00E811F7"/>
    <w:rsid w:val="00E82607"/>
    <w:rsid w:val="00E83697"/>
    <w:rsid w:val="00E83BCB"/>
    <w:rsid w:val="00E83E1D"/>
    <w:rsid w:val="00E840C6"/>
    <w:rsid w:val="00E902ED"/>
    <w:rsid w:val="00E903C1"/>
    <w:rsid w:val="00E906B0"/>
    <w:rsid w:val="00E9114A"/>
    <w:rsid w:val="00E93F78"/>
    <w:rsid w:val="00E94A35"/>
    <w:rsid w:val="00E95ED7"/>
    <w:rsid w:val="00E96C44"/>
    <w:rsid w:val="00E97492"/>
    <w:rsid w:val="00E97D6C"/>
    <w:rsid w:val="00EA16B8"/>
    <w:rsid w:val="00EA202E"/>
    <w:rsid w:val="00EA2902"/>
    <w:rsid w:val="00EA2990"/>
    <w:rsid w:val="00EA484D"/>
    <w:rsid w:val="00EA66C9"/>
    <w:rsid w:val="00EA75F5"/>
    <w:rsid w:val="00EB0919"/>
    <w:rsid w:val="00EB1D8A"/>
    <w:rsid w:val="00EB30B0"/>
    <w:rsid w:val="00EB3E54"/>
    <w:rsid w:val="00EB4F5D"/>
    <w:rsid w:val="00EB53EC"/>
    <w:rsid w:val="00EB5443"/>
    <w:rsid w:val="00EB646A"/>
    <w:rsid w:val="00EC0293"/>
    <w:rsid w:val="00EC1BEC"/>
    <w:rsid w:val="00EC3795"/>
    <w:rsid w:val="00EC392A"/>
    <w:rsid w:val="00EC40AC"/>
    <w:rsid w:val="00EC4153"/>
    <w:rsid w:val="00EC48FB"/>
    <w:rsid w:val="00EC4A25"/>
    <w:rsid w:val="00EC693B"/>
    <w:rsid w:val="00EC69F7"/>
    <w:rsid w:val="00EC6B2A"/>
    <w:rsid w:val="00ED2451"/>
    <w:rsid w:val="00ED36FE"/>
    <w:rsid w:val="00ED4616"/>
    <w:rsid w:val="00ED5DDE"/>
    <w:rsid w:val="00EE0427"/>
    <w:rsid w:val="00EE1D53"/>
    <w:rsid w:val="00EE4B56"/>
    <w:rsid w:val="00EE5EBC"/>
    <w:rsid w:val="00EE7B22"/>
    <w:rsid w:val="00EF2F18"/>
    <w:rsid w:val="00EF361E"/>
    <w:rsid w:val="00EF426A"/>
    <w:rsid w:val="00EF467E"/>
    <w:rsid w:val="00EF57E0"/>
    <w:rsid w:val="00EF59EC"/>
    <w:rsid w:val="00EF606F"/>
    <w:rsid w:val="00EF6F8B"/>
    <w:rsid w:val="00EF7474"/>
    <w:rsid w:val="00F00295"/>
    <w:rsid w:val="00F01491"/>
    <w:rsid w:val="00F01495"/>
    <w:rsid w:val="00F02257"/>
    <w:rsid w:val="00F025A2"/>
    <w:rsid w:val="00F02B4A"/>
    <w:rsid w:val="00F03041"/>
    <w:rsid w:val="00F04382"/>
    <w:rsid w:val="00F04FFA"/>
    <w:rsid w:val="00F064E2"/>
    <w:rsid w:val="00F067A9"/>
    <w:rsid w:val="00F07388"/>
    <w:rsid w:val="00F078A7"/>
    <w:rsid w:val="00F10D45"/>
    <w:rsid w:val="00F11951"/>
    <w:rsid w:val="00F12B16"/>
    <w:rsid w:val="00F16255"/>
    <w:rsid w:val="00F16B1B"/>
    <w:rsid w:val="00F17C45"/>
    <w:rsid w:val="00F2026E"/>
    <w:rsid w:val="00F214EF"/>
    <w:rsid w:val="00F2199D"/>
    <w:rsid w:val="00F2210A"/>
    <w:rsid w:val="00F221E8"/>
    <w:rsid w:val="00F237D3"/>
    <w:rsid w:val="00F24B11"/>
    <w:rsid w:val="00F269B3"/>
    <w:rsid w:val="00F27E5E"/>
    <w:rsid w:val="00F30A07"/>
    <w:rsid w:val="00F30C28"/>
    <w:rsid w:val="00F32AF9"/>
    <w:rsid w:val="00F34619"/>
    <w:rsid w:val="00F3539E"/>
    <w:rsid w:val="00F356F7"/>
    <w:rsid w:val="00F35E0D"/>
    <w:rsid w:val="00F37743"/>
    <w:rsid w:val="00F378EF"/>
    <w:rsid w:val="00F40FF5"/>
    <w:rsid w:val="00F41FBB"/>
    <w:rsid w:val="00F44A02"/>
    <w:rsid w:val="00F44C3C"/>
    <w:rsid w:val="00F44D2B"/>
    <w:rsid w:val="00F458E5"/>
    <w:rsid w:val="00F469B7"/>
    <w:rsid w:val="00F46D6D"/>
    <w:rsid w:val="00F46E4B"/>
    <w:rsid w:val="00F47182"/>
    <w:rsid w:val="00F50E89"/>
    <w:rsid w:val="00F54355"/>
    <w:rsid w:val="00F54A3D"/>
    <w:rsid w:val="00F54CB0"/>
    <w:rsid w:val="00F5657B"/>
    <w:rsid w:val="00F565C4"/>
    <w:rsid w:val="00F56DE2"/>
    <w:rsid w:val="00F60C44"/>
    <w:rsid w:val="00F60CB0"/>
    <w:rsid w:val="00F61565"/>
    <w:rsid w:val="00F61D4D"/>
    <w:rsid w:val="00F632CF"/>
    <w:rsid w:val="00F653B8"/>
    <w:rsid w:val="00F66A9F"/>
    <w:rsid w:val="00F71B89"/>
    <w:rsid w:val="00F7353C"/>
    <w:rsid w:val="00F7438B"/>
    <w:rsid w:val="00F74697"/>
    <w:rsid w:val="00F74964"/>
    <w:rsid w:val="00F75235"/>
    <w:rsid w:val="00F7602F"/>
    <w:rsid w:val="00F76F8F"/>
    <w:rsid w:val="00F77398"/>
    <w:rsid w:val="00F83B72"/>
    <w:rsid w:val="00F87647"/>
    <w:rsid w:val="00F90917"/>
    <w:rsid w:val="00F91248"/>
    <w:rsid w:val="00F918C8"/>
    <w:rsid w:val="00F91D6E"/>
    <w:rsid w:val="00F9207C"/>
    <w:rsid w:val="00F934B6"/>
    <w:rsid w:val="00F941DF"/>
    <w:rsid w:val="00F954A1"/>
    <w:rsid w:val="00F96368"/>
    <w:rsid w:val="00F964BF"/>
    <w:rsid w:val="00F966C4"/>
    <w:rsid w:val="00FA03A8"/>
    <w:rsid w:val="00FA1063"/>
    <w:rsid w:val="00FA1266"/>
    <w:rsid w:val="00FA15BF"/>
    <w:rsid w:val="00FA1DE6"/>
    <w:rsid w:val="00FA2916"/>
    <w:rsid w:val="00FA37F4"/>
    <w:rsid w:val="00FB36FA"/>
    <w:rsid w:val="00FB5B8E"/>
    <w:rsid w:val="00FB68D6"/>
    <w:rsid w:val="00FB7434"/>
    <w:rsid w:val="00FB7A3E"/>
    <w:rsid w:val="00FC1013"/>
    <w:rsid w:val="00FC1192"/>
    <w:rsid w:val="00FC16C9"/>
    <w:rsid w:val="00FC2DBE"/>
    <w:rsid w:val="00FC4E72"/>
    <w:rsid w:val="00FD03C4"/>
    <w:rsid w:val="00FD0C00"/>
    <w:rsid w:val="00FD2A75"/>
    <w:rsid w:val="00FD3B90"/>
    <w:rsid w:val="00FD455E"/>
    <w:rsid w:val="00FD692D"/>
    <w:rsid w:val="00FD799A"/>
    <w:rsid w:val="00FE017D"/>
    <w:rsid w:val="00FE0B39"/>
    <w:rsid w:val="00FE1468"/>
    <w:rsid w:val="00FE1A39"/>
    <w:rsid w:val="00FE251B"/>
    <w:rsid w:val="00FE2CCB"/>
    <w:rsid w:val="00FE3648"/>
    <w:rsid w:val="00FE42E1"/>
    <w:rsid w:val="00FE4E87"/>
    <w:rsid w:val="00FE59B2"/>
    <w:rsid w:val="00FE5BCF"/>
    <w:rsid w:val="00FE7B61"/>
    <w:rsid w:val="00FF26FC"/>
    <w:rsid w:val="00FF347B"/>
    <w:rsid w:val="00FF3E69"/>
    <w:rsid w:val="00FF4CC5"/>
    <w:rsid w:val="00FF5EFF"/>
    <w:rsid w:val="00FF69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D431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234BB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34B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34BB9"/>
    <w:rPr>
      <w:rFonts w:ascii="Arial" w:eastAsia="MS Mincho" w:hAnsi="Arial"/>
      <w:szCs w:val="24"/>
    </w:rPr>
  </w:style>
  <w:style w:type="character" w:customStyle="1" w:styleId="Doc-titleChar">
    <w:name w:val="Doc-title Char"/>
    <w:link w:val="Doc-title"/>
    <w:rsid w:val="00234BB9"/>
    <w:rPr>
      <w:rFonts w:ascii="Arial" w:eastAsia="MS Mincho" w:hAnsi="Arial"/>
      <w:noProof/>
      <w:szCs w:val="24"/>
    </w:rPr>
  </w:style>
  <w:style w:type="table" w:styleId="TableGrid">
    <w:name w:val="Table Grid"/>
    <w:basedOn w:val="TableNormal"/>
    <w:rsid w:val="00234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234BB9"/>
    <w:pPr>
      <w:numPr>
        <w:numId w:val="1"/>
      </w:numPr>
      <w:spacing w:before="60" w:after="0"/>
    </w:pPr>
    <w:rPr>
      <w:rFonts w:ascii="Arial" w:eastAsiaTheme="minorHAnsi" w:hAnsi="Arial" w:cs="Arial"/>
      <w:b/>
      <w:bCs/>
      <w:lang w:eastAsia="en-GB"/>
    </w:rPr>
  </w:style>
  <w:style w:type="paragraph" w:styleId="ListParagraph">
    <w:name w:val="List Paragraph"/>
    <w:basedOn w:val="Normal"/>
    <w:uiPriority w:val="34"/>
    <w:qFormat/>
    <w:rsid w:val="00234BB9"/>
    <w:pPr>
      <w:ind w:left="720"/>
      <w:contextualSpacing/>
    </w:pPr>
  </w:style>
  <w:style w:type="character" w:customStyle="1" w:styleId="TALCar">
    <w:name w:val="TAL Car"/>
    <w:link w:val="TAL"/>
    <w:qFormat/>
    <w:rsid w:val="00955622"/>
    <w:rPr>
      <w:rFonts w:ascii="Arial" w:hAnsi="Arial"/>
      <w:sz w:val="18"/>
      <w:lang w:eastAsia="en-US"/>
    </w:rPr>
  </w:style>
  <w:style w:type="character" w:customStyle="1" w:styleId="TAHCar">
    <w:name w:val="TAH Car"/>
    <w:link w:val="TAH"/>
    <w:qFormat/>
    <w:locked/>
    <w:rsid w:val="00955622"/>
    <w:rPr>
      <w:rFonts w:ascii="Arial" w:hAnsi="Arial"/>
      <w:b/>
      <w:sz w:val="18"/>
      <w:lang w:eastAsia="en-US"/>
    </w:rPr>
  </w:style>
  <w:style w:type="character" w:customStyle="1" w:styleId="THChar">
    <w:name w:val="TH Char"/>
    <w:link w:val="TH"/>
    <w:qFormat/>
    <w:rsid w:val="009A6927"/>
    <w:rPr>
      <w:rFonts w:ascii="Arial" w:hAnsi="Arial"/>
      <w:b/>
      <w:lang w:eastAsia="en-US"/>
    </w:rPr>
  </w:style>
  <w:style w:type="character" w:customStyle="1" w:styleId="PLChar">
    <w:name w:val="PL Char"/>
    <w:link w:val="PL"/>
    <w:qFormat/>
    <w:rsid w:val="009A6927"/>
    <w:rPr>
      <w:rFonts w:ascii="Courier New" w:hAnsi="Courier New"/>
      <w:noProof/>
      <w:sz w:val="16"/>
      <w:lang w:eastAsia="en-US"/>
    </w:rPr>
  </w:style>
  <w:style w:type="character" w:styleId="CommentReference">
    <w:name w:val="annotation reference"/>
    <w:basedOn w:val="DefaultParagraphFont"/>
    <w:rsid w:val="008842B4"/>
    <w:rPr>
      <w:sz w:val="16"/>
      <w:szCs w:val="16"/>
    </w:rPr>
  </w:style>
  <w:style w:type="paragraph" w:styleId="CommentText">
    <w:name w:val="annotation text"/>
    <w:basedOn w:val="Normal"/>
    <w:link w:val="CommentTextChar"/>
    <w:rsid w:val="008842B4"/>
  </w:style>
  <w:style w:type="character" w:customStyle="1" w:styleId="CommentTextChar">
    <w:name w:val="Comment Text Char"/>
    <w:basedOn w:val="DefaultParagraphFont"/>
    <w:link w:val="CommentText"/>
    <w:rsid w:val="008842B4"/>
    <w:rPr>
      <w:lang w:eastAsia="en-US"/>
    </w:rPr>
  </w:style>
  <w:style w:type="paragraph" w:styleId="CommentSubject">
    <w:name w:val="annotation subject"/>
    <w:basedOn w:val="CommentText"/>
    <w:next w:val="CommentText"/>
    <w:link w:val="CommentSubjectChar"/>
    <w:rsid w:val="008842B4"/>
    <w:rPr>
      <w:b/>
      <w:bCs/>
    </w:rPr>
  </w:style>
  <w:style w:type="character" w:customStyle="1" w:styleId="CommentSubjectChar">
    <w:name w:val="Comment Subject Char"/>
    <w:basedOn w:val="CommentTextChar"/>
    <w:link w:val="CommentSubject"/>
    <w:rsid w:val="008842B4"/>
    <w:rPr>
      <w:b/>
      <w:bCs/>
      <w:lang w:eastAsia="en-US"/>
    </w:rPr>
  </w:style>
  <w:style w:type="paragraph" w:styleId="Revision">
    <w:name w:val="Revision"/>
    <w:hidden/>
    <w:uiPriority w:val="99"/>
    <w:semiHidden/>
    <w:rsid w:val="00AF3546"/>
    <w:rPr>
      <w:lang w:eastAsia="en-US"/>
    </w:rPr>
  </w:style>
  <w:style w:type="character" w:customStyle="1" w:styleId="EmailDiscussionChar">
    <w:name w:val="EmailDiscussion Char"/>
    <w:link w:val="EmailDiscussion"/>
    <w:uiPriority w:val="99"/>
    <w:locked/>
    <w:rsid w:val="00276DCF"/>
    <w:rPr>
      <w:rFonts w:ascii="Arial" w:eastAsia="MS Mincho" w:hAnsi="Arial" w:cs="Arial"/>
      <w:b/>
      <w:szCs w:val="24"/>
    </w:rPr>
  </w:style>
  <w:style w:type="paragraph" w:customStyle="1" w:styleId="EmailDiscussion2">
    <w:name w:val="EmailDiscussion2"/>
    <w:basedOn w:val="Normal"/>
    <w:uiPriority w:val="99"/>
    <w:qFormat/>
    <w:rsid w:val="00276DCF"/>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uiPriority w:val="99"/>
    <w:rsid w:val="00276DCF"/>
    <w:pPr>
      <w:numPr>
        <w:numId w:val="2"/>
      </w:numPr>
      <w:spacing w:before="40" w:after="0"/>
    </w:pPr>
    <w:rPr>
      <w:rFonts w:ascii="Arial" w:eastAsia="MS Mincho" w:hAnsi="Arial" w:cs="Arial"/>
      <w:b/>
      <w:szCs w:val="24"/>
      <w:lang w:eastAsia="en-GB"/>
    </w:rPr>
  </w:style>
  <w:style w:type="character" w:customStyle="1" w:styleId="Heading4Char">
    <w:name w:val="Heading 4 Char"/>
    <w:link w:val="Heading4"/>
    <w:locked/>
    <w:rsid w:val="00D5622F"/>
    <w:rPr>
      <w:rFonts w:ascii="Arial" w:hAnsi="Arial"/>
      <w:sz w:val="24"/>
      <w:lang w:eastAsia="en-US"/>
    </w:rPr>
  </w:style>
  <w:style w:type="character" w:customStyle="1" w:styleId="NOZchn">
    <w:name w:val="NO Zchn"/>
    <w:link w:val="NO"/>
    <w:rsid w:val="00D5622F"/>
    <w:rPr>
      <w:lang w:eastAsia="en-US"/>
    </w:rPr>
  </w:style>
  <w:style w:type="character" w:customStyle="1" w:styleId="B1Char">
    <w:name w:val="B1 Char"/>
    <w:link w:val="B1"/>
    <w:rsid w:val="00D5622F"/>
    <w:rPr>
      <w:lang w:eastAsia="en-US"/>
    </w:rPr>
  </w:style>
  <w:style w:type="character" w:customStyle="1" w:styleId="FooterChar">
    <w:name w:val="Footer Char"/>
    <w:basedOn w:val="DefaultParagraphFont"/>
    <w:link w:val="Footer"/>
    <w:uiPriority w:val="99"/>
    <w:rsid w:val="00947F22"/>
    <w:rPr>
      <w:rFonts w:ascii="Arial" w:hAnsi="Arial"/>
      <w:b/>
      <w:i/>
      <w:noProof/>
      <w:sz w:val="18"/>
      <w:lang w:eastAsia="ja-JP"/>
    </w:rPr>
  </w:style>
  <w:style w:type="paragraph" w:styleId="BodyText">
    <w:name w:val="Body Text"/>
    <w:aliases w:val="bt"/>
    <w:basedOn w:val="Normal"/>
    <w:link w:val="BodyTextChar"/>
    <w:rsid w:val="002A439F"/>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2A439F"/>
    <w:rPr>
      <w:rFonts w:ascii="Times" w:eastAsia="Batang" w:hAnsi="Times"/>
      <w:szCs w:val="24"/>
      <w:lang w:eastAsia="x-none"/>
    </w:rPr>
  </w:style>
  <w:style w:type="character" w:customStyle="1" w:styleId="B2Char">
    <w:name w:val="B2 Char"/>
    <w:link w:val="B2"/>
    <w:qFormat/>
    <w:rsid w:val="008A1B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97283">
      <w:bodyDiv w:val="1"/>
      <w:marLeft w:val="0"/>
      <w:marRight w:val="0"/>
      <w:marTop w:val="0"/>
      <w:marBottom w:val="0"/>
      <w:divBdr>
        <w:top w:val="none" w:sz="0" w:space="0" w:color="auto"/>
        <w:left w:val="none" w:sz="0" w:space="0" w:color="auto"/>
        <w:bottom w:val="none" w:sz="0" w:space="0" w:color="auto"/>
        <w:right w:val="none" w:sz="0" w:space="0" w:color="auto"/>
      </w:divBdr>
    </w:div>
    <w:div w:id="180703096">
      <w:bodyDiv w:val="1"/>
      <w:marLeft w:val="0"/>
      <w:marRight w:val="0"/>
      <w:marTop w:val="0"/>
      <w:marBottom w:val="0"/>
      <w:divBdr>
        <w:top w:val="none" w:sz="0" w:space="0" w:color="auto"/>
        <w:left w:val="none" w:sz="0" w:space="0" w:color="auto"/>
        <w:bottom w:val="none" w:sz="0" w:space="0" w:color="auto"/>
        <w:right w:val="none" w:sz="0" w:space="0" w:color="auto"/>
      </w:divBdr>
    </w:div>
    <w:div w:id="268006449">
      <w:bodyDiv w:val="1"/>
      <w:marLeft w:val="0"/>
      <w:marRight w:val="0"/>
      <w:marTop w:val="0"/>
      <w:marBottom w:val="0"/>
      <w:divBdr>
        <w:top w:val="none" w:sz="0" w:space="0" w:color="auto"/>
        <w:left w:val="none" w:sz="0" w:space="0" w:color="auto"/>
        <w:bottom w:val="none" w:sz="0" w:space="0" w:color="auto"/>
        <w:right w:val="none" w:sz="0" w:space="0" w:color="auto"/>
      </w:divBdr>
    </w:div>
    <w:div w:id="271208435">
      <w:bodyDiv w:val="1"/>
      <w:marLeft w:val="0"/>
      <w:marRight w:val="0"/>
      <w:marTop w:val="0"/>
      <w:marBottom w:val="0"/>
      <w:divBdr>
        <w:top w:val="none" w:sz="0" w:space="0" w:color="auto"/>
        <w:left w:val="none" w:sz="0" w:space="0" w:color="auto"/>
        <w:bottom w:val="none" w:sz="0" w:space="0" w:color="auto"/>
        <w:right w:val="none" w:sz="0" w:space="0" w:color="auto"/>
      </w:divBdr>
    </w:div>
    <w:div w:id="376588475">
      <w:bodyDiv w:val="1"/>
      <w:marLeft w:val="0"/>
      <w:marRight w:val="0"/>
      <w:marTop w:val="0"/>
      <w:marBottom w:val="0"/>
      <w:divBdr>
        <w:top w:val="none" w:sz="0" w:space="0" w:color="auto"/>
        <w:left w:val="none" w:sz="0" w:space="0" w:color="auto"/>
        <w:bottom w:val="none" w:sz="0" w:space="0" w:color="auto"/>
        <w:right w:val="none" w:sz="0" w:space="0" w:color="auto"/>
      </w:divBdr>
    </w:div>
    <w:div w:id="430853072">
      <w:bodyDiv w:val="1"/>
      <w:marLeft w:val="0"/>
      <w:marRight w:val="0"/>
      <w:marTop w:val="0"/>
      <w:marBottom w:val="0"/>
      <w:divBdr>
        <w:top w:val="none" w:sz="0" w:space="0" w:color="auto"/>
        <w:left w:val="none" w:sz="0" w:space="0" w:color="auto"/>
        <w:bottom w:val="none" w:sz="0" w:space="0" w:color="auto"/>
        <w:right w:val="none" w:sz="0" w:space="0" w:color="auto"/>
      </w:divBdr>
    </w:div>
    <w:div w:id="436104039">
      <w:bodyDiv w:val="1"/>
      <w:marLeft w:val="0"/>
      <w:marRight w:val="0"/>
      <w:marTop w:val="0"/>
      <w:marBottom w:val="0"/>
      <w:divBdr>
        <w:top w:val="none" w:sz="0" w:space="0" w:color="auto"/>
        <w:left w:val="none" w:sz="0" w:space="0" w:color="auto"/>
        <w:bottom w:val="none" w:sz="0" w:space="0" w:color="auto"/>
        <w:right w:val="none" w:sz="0" w:space="0" w:color="auto"/>
      </w:divBdr>
    </w:div>
    <w:div w:id="471869649">
      <w:bodyDiv w:val="1"/>
      <w:marLeft w:val="0"/>
      <w:marRight w:val="0"/>
      <w:marTop w:val="0"/>
      <w:marBottom w:val="0"/>
      <w:divBdr>
        <w:top w:val="none" w:sz="0" w:space="0" w:color="auto"/>
        <w:left w:val="none" w:sz="0" w:space="0" w:color="auto"/>
        <w:bottom w:val="none" w:sz="0" w:space="0" w:color="auto"/>
        <w:right w:val="none" w:sz="0" w:space="0" w:color="auto"/>
      </w:divBdr>
    </w:div>
    <w:div w:id="630748545">
      <w:bodyDiv w:val="1"/>
      <w:marLeft w:val="0"/>
      <w:marRight w:val="0"/>
      <w:marTop w:val="0"/>
      <w:marBottom w:val="0"/>
      <w:divBdr>
        <w:top w:val="none" w:sz="0" w:space="0" w:color="auto"/>
        <w:left w:val="none" w:sz="0" w:space="0" w:color="auto"/>
        <w:bottom w:val="none" w:sz="0" w:space="0" w:color="auto"/>
        <w:right w:val="none" w:sz="0" w:space="0" w:color="auto"/>
      </w:divBdr>
    </w:div>
    <w:div w:id="662010871">
      <w:bodyDiv w:val="1"/>
      <w:marLeft w:val="0"/>
      <w:marRight w:val="0"/>
      <w:marTop w:val="0"/>
      <w:marBottom w:val="0"/>
      <w:divBdr>
        <w:top w:val="none" w:sz="0" w:space="0" w:color="auto"/>
        <w:left w:val="none" w:sz="0" w:space="0" w:color="auto"/>
        <w:bottom w:val="none" w:sz="0" w:space="0" w:color="auto"/>
        <w:right w:val="none" w:sz="0" w:space="0" w:color="auto"/>
      </w:divBdr>
    </w:div>
    <w:div w:id="793913614">
      <w:bodyDiv w:val="1"/>
      <w:marLeft w:val="0"/>
      <w:marRight w:val="0"/>
      <w:marTop w:val="0"/>
      <w:marBottom w:val="0"/>
      <w:divBdr>
        <w:top w:val="none" w:sz="0" w:space="0" w:color="auto"/>
        <w:left w:val="none" w:sz="0" w:space="0" w:color="auto"/>
        <w:bottom w:val="none" w:sz="0" w:space="0" w:color="auto"/>
        <w:right w:val="none" w:sz="0" w:space="0" w:color="auto"/>
      </w:divBdr>
      <w:divsChild>
        <w:div w:id="1164204818">
          <w:marLeft w:val="0"/>
          <w:marRight w:val="0"/>
          <w:marTop w:val="0"/>
          <w:marBottom w:val="0"/>
          <w:divBdr>
            <w:top w:val="none" w:sz="0" w:space="0" w:color="auto"/>
            <w:left w:val="none" w:sz="0" w:space="0" w:color="auto"/>
            <w:bottom w:val="none" w:sz="0" w:space="0" w:color="auto"/>
            <w:right w:val="none" w:sz="0" w:space="0" w:color="auto"/>
          </w:divBdr>
        </w:div>
        <w:div w:id="1410539135">
          <w:marLeft w:val="0"/>
          <w:marRight w:val="0"/>
          <w:marTop w:val="0"/>
          <w:marBottom w:val="0"/>
          <w:divBdr>
            <w:top w:val="none" w:sz="0" w:space="0" w:color="auto"/>
            <w:left w:val="none" w:sz="0" w:space="0" w:color="auto"/>
            <w:bottom w:val="none" w:sz="0" w:space="0" w:color="auto"/>
            <w:right w:val="none" w:sz="0" w:space="0" w:color="auto"/>
          </w:divBdr>
        </w:div>
        <w:div w:id="1930652017">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26178932">
      <w:bodyDiv w:val="1"/>
      <w:marLeft w:val="0"/>
      <w:marRight w:val="0"/>
      <w:marTop w:val="0"/>
      <w:marBottom w:val="0"/>
      <w:divBdr>
        <w:top w:val="none" w:sz="0" w:space="0" w:color="auto"/>
        <w:left w:val="none" w:sz="0" w:space="0" w:color="auto"/>
        <w:bottom w:val="none" w:sz="0" w:space="0" w:color="auto"/>
        <w:right w:val="none" w:sz="0" w:space="0" w:color="auto"/>
      </w:divBdr>
    </w:div>
    <w:div w:id="1041789584">
      <w:bodyDiv w:val="1"/>
      <w:marLeft w:val="0"/>
      <w:marRight w:val="0"/>
      <w:marTop w:val="0"/>
      <w:marBottom w:val="0"/>
      <w:divBdr>
        <w:top w:val="none" w:sz="0" w:space="0" w:color="auto"/>
        <w:left w:val="none" w:sz="0" w:space="0" w:color="auto"/>
        <w:bottom w:val="none" w:sz="0" w:space="0" w:color="auto"/>
        <w:right w:val="none" w:sz="0" w:space="0" w:color="auto"/>
      </w:divBdr>
      <w:divsChild>
        <w:div w:id="847476794">
          <w:marLeft w:val="0"/>
          <w:marRight w:val="0"/>
          <w:marTop w:val="0"/>
          <w:marBottom w:val="0"/>
          <w:divBdr>
            <w:top w:val="none" w:sz="0" w:space="0" w:color="auto"/>
            <w:left w:val="none" w:sz="0" w:space="0" w:color="auto"/>
            <w:bottom w:val="none" w:sz="0" w:space="0" w:color="auto"/>
            <w:right w:val="none" w:sz="0" w:space="0" w:color="auto"/>
          </w:divBdr>
        </w:div>
        <w:div w:id="1865752542">
          <w:marLeft w:val="0"/>
          <w:marRight w:val="0"/>
          <w:marTop w:val="0"/>
          <w:marBottom w:val="0"/>
          <w:divBdr>
            <w:top w:val="none" w:sz="0" w:space="0" w:color="auto"/>
            <w:left w:val="none" w:sz="0" w:space="0" w:color="auto"/>
            <w:bottom w:val="none" w:sz="0" w:space="0" w:color="auto"/>
            <w:right w:val="none" w:sz="0" w:space="0" w:color="auto"/>
          </w:divBdr>
        </w:div>
        <w:div w:id="555747195">
          <w:marLeft w:val="0"/>
          <w:marRight w:val="0"/>
          <w:marTop w:val="0"/>
          <w:marBottom w:val="0"/>
          <w:divBdr>
            <w:top w:val="none" w:sz="0" w:space="0" w:color="auto"/>
            <w:left w:val="none" w:sz="0" w:space="0" w:color="auto"/>
            <w:bottom w:val="none" w:sz="0" w:space="0" w:color="auto"/>
            <w:right w:val="none" w:sz="0" w:space="0" w:color="auto"/>
          </w:divBdr>
        </w:div>
        <w:div w:id="76366638">
          <w:marLeft w:val="0"/>
          <w:marRight w:val="0"/>
          <w:marTop w:val="0"/>
          <w:marBottom w:val="0"/>
          <w:divBdr>
            <w:top w:val="none" w:sz="0" w:space="0" w:color="auto"/>
            <w:left w:val="none" w:sz="0" w:space="0" w:color="auto"/>
            <w:bottom w:val="none" w:sz="0" w:space="0" w:color="auto"/>
            <w:right w:val="none" w:sz="0" w:space="0" w:color="auto"/>
          </w:divBdr>
        </w:div>
        <w:div w:id="1655572212">
          <w:marLeft w:val="0"/>
          <w:marRight w:val="0"/>
          <w:marTop w:val="0"/>
          <w:marBottom w:val="0"/>
          <w:divBdr>
            <w:top w:val="none" w:sz="0" w:space="0" w:color="auto"/>
            <w:left w:val="none" w:sz="0" w:space="0" w:color="auto"/>
            <w:bottom w:val="none" w:sz="0" w:space="0" w:color="auto"/>
            <w:right w:val="none" w:sz="0" w:space="0" w:color="auto"/>
          </w:divBdr>
        </w:div>
      </w:divsChild>
    </w:div>
    <w:div w:id="1050114344">
      <w:bodyDiv w:val="1"/>
      <w:marLeft w:val="0"/>
      <w:marRight w:val="0"/>
      <w:marTop w:val="0"/>
      <w:marBottom w:val="0"/>
      <w:divBdr>
        <w:top w:val="none" w:sz="0" w:space="0" w:color="auto"/>
        <w:left w:val="none" w:sz="0" w:space="0" w:color="auto"/>
        <w:bottom w:val="none" w:sz="0" w:space="0" w:color="auto"/>
        <w:right w:val="none" w:sz="0" w:space="0" w:color="auto"/>
      </w:divBdr>
      <w:divsChild>
        <w:div w:id="1694377653">
          <w:marLeft w:val="0"/>
          <w:marRight w:val="0"/>
          <w:marTop w:val="0"/>
          <w:marBottom w:val="0"/>
          <w:divBdr>
            <w:top w:val="none" w:sz="0" w:space="0" w:color="auto"/>
            <w:left w:val="none" w:sz="0" w:space="0" w:color="auto"/>
            <w:bottom w:val="none" w:sz="0" w:space="0" w:color="auto"/>
            <w:right w:val="none" w:sz="0" w:space="0" w:color="auto"/>
          </w:divBdr>
        </w:div>
        <w:div w:id="1926454510">
          <w:marLeft w:val="0"/>
          <w:marRight w:val="0"/>
          <w:marTop w:val="0"/>
          <w:marBottom w:val="0"/>
          <w:divBdr>
            <w:top w:val="none" w:sz="0" w:space="0" w:color="auto"/>
            <w:left w:val="none" w:sz="0" w:space="0" w:color="auto"/>
            <w:bottom w:val="none" w:sz="0" w:space="0" w:color="auto"/>
            <w:right w:val="none" w:sz="0" w:space="0" w:color="auto"/>
          </w:divBdr>
        </w:div>
        <w:div w:id="1290042311">
          <w:marLeft w:val="0"/>
          <w:marRight w:val="0"/>
          <w:marTop w:val="0"/>
          <w:marBottom w:val="0"/>
          <w:divBdr>
            <w:top w:val="none" w:sz="0" w:space="0" w:color="auto"/>
            <w:left w:val="none" w:sz="0" w:space="0" w:color="auto"/>
            <w:bottom w:val="none" w:sz="0" w:space="0" w:color="auto"/>
            <w:right w:val="none" w:sz="0" w:space="0" w:color="auto"/>
          </w:divBdr>
        </w:div>
        <w:div w:id="1084572968">
          <w:marLeft w:val="0"/>
          <w:marRight w:val="0"/>
          <w:marTop w:val="0"/>
          <w:marBottom w:val="0"/>
          <w:divBdr>
            <w:top w:val="none" w:sz="0" w:space="0" w:color="auto"/>
            <w:left w:val="none" w:sz="0" w:space="0" w:color="auto"/>
            <w:bottom w:val="none" w:sz="0" w:space="0" w:color="auto"/>
            <w:right w:val="none" w:sz="0" w:space="0" w:color="auto"/>
          </w:divBdr>
        </w:div>
      </w:divsChild>
    </w:div>
    <w:div w:id="1108282714">
      <w:bodyDiv w:val="1"/>
      <w:marLeft w:val="0"/>
      <w:marRight w:val="0"/>
      <w:marTop w:val="0"/>
      <w:marBottom w:val="0"/>
      <w:divBdr>
        <w:top w:val="none" w:sz="0" w:space="0" w:color="auto"/>
        <w:left w:val="none" w:sz="0" w:space="0" w:color="auto"/>
        <w:bottom w:val="none" w:sz="0" w:space="0" w:color="auto"/>
        <w:right w:val="none" w:sz="0" w:space="0" w:color="auto"/>
      </w:divBdr>
      <w:divsChild>
        <w:div w:id="1701786075">
          <w:marLeft w:val="0"/>
          <w:marRight w:val="0"/>
          <w:marTop w:val="0"/>
          <w:marBottom w:val="0"/>
          <w:divBdr>
            <w:top w:val="none" w:sz="0" w:space="0" w:color="auto"/>
            <w:left w:val="none" w:sz="0" w:space="0" w:color="auto"/>
            <w:bottom w:val="none" w:sz="0" w:space="0" w:color="auto"/>
            <w:right w:val="none" w:sz="0" w:space="0" w:color="auto"/>
          </w:divBdr>
        </w:div>
        <w:div w:id="648824910">
          <w:marLeft w:val="0"/>
          <w:marRight w:val="0"/>
          <w:marTop w:val="0"/>
          <w:marBottom w:val="0"/>
          <w:divBdr>
            <w:top w:val="none" w:sz="0" w:space="0" w:color="auto"/>
            <w:left w:val="none" w:sz="0" w:space="0" w:color="auto"/>
            <w:bottom w:val="none" w:sz="0" w:space="0" w:color="auto"/>
            <w:right w:val="none" w:sz="0" w:space="0" w:color="auto"/>
          </w:divBdr>
        </w:div>
        <w:div w:id="109325431">
          <w:marLeft w:val="0"/>
          <w:marRight w:val="0"/>
          <w:marTop w:val="0"/>
          <w:marBottom w:val="0"/>
          <w:divBdr>
            <w:top w:val="none" w:sz="0" w:space="0" w:color="auto"/>
            <w:left w:val="none" w:sz="0" w:space="0" w:color="auto"/>
            <w:bottom w:val="none" w:sz="0" w:space="0" w:color="auto"/>
            <w:right w:val="none" w:sz="0" w:space="0" w:color="auto"/>
          </w:divBdr>
        </w:div>
        <w:div w:id="2011790792">
          <w:marLeft w:val="0"/>
          <w:marRight w:val="0"/>
          <w:marTop w:val="0"/>
          <w:marBottom w:val="0"/>
          <w:divBdr>
            <w:top w:val="none" w:sz="0" w:space="0" w:color="auto"/>
            <w:left w:val="none" w:sz="0" w:space="0" w:color="auto"/>
            <w:bottom w:val="none" w:sz="0" w:space="0" w:color="auto"/>
            <w:right w:val="none" w:sz="0" w:space="0" w:color="auto"/>
          </w:divBdr>
        </w:div>
        <w:div w:id="235287251">
          <w:marLeft w:val="0"/>
          <w:marRight w:val="0"/>
          <w:marTop w:val="0"/>
          <w:marBottom w:val="0"/>
          <w:divBdr>
            <w:top w:val="none" w:sz="0" w:space="0" w:color="auto"/>
            <w:left w:val="none" w:sz="0" w:space="0" w:color="auto"/>
            <w:bottom w:val="none" w:sz="0" w:space="0" w:color="auto"/>
            <w:right w:val="none" w:sz="0" w:space="0" w:color="auto"/>
          </w:divBdr>
        </w:div>
        <w:div w:id="1373113426">
          <w:marLeft w:val="0"/>
          <w:marRight w:val="0"/>
          <w:marTop w:val="0"/>
          <w:marBottom w:val="0"/>
          <w:divBdr>
            <w:top w:val="none" w:sz="0" w:space="0" w:color="auto"/>
            <w:left w:val="none" w:sz="0" w:space="0" w:color="auto"/>
            <w:bottom w:val="none" w:sz="0" w:space="0" w:color="auto"/>
            <w:right w:val="none" w:sz="0" w:space="0" w:color="auto"/>
          </w:divBdr>
        </w:div>
        <w:div w:id="1438285010">
          <w:marLeft w:val="0"/>
          <w:marRight w:val="0"/>
          <w:marTop w:val="0"/>
          <w:marBottom w:val="0"/>
          <w:divBdr>
            <w:top w:val="none" w:sz="0" w:space="0" w:color="auto"/>
            <w:left w:val="none" w:sz="0" w:space="0" w:color="auto"/>
            <w:bottom w:val="none" w:sz="0" w:space="0" w:color="auto"/>
            <w:right w:val="none" w:sz="0" w:space="0" w:color="auto"/>
          </w:divBdr>
        </w:div>
        <w:div w:id="780688258">
          <w:marLeft w:val="0"/>
          <w:marRight w:val="0"/>
          <w:marTop w:val="0"/>
          <w:marBottom w:val="0"/>
          <w:divBdr>
            <w:top w:val="none" w:sz="0" w:space="0" w:color="auto"/>
            <w:left w:val="none" w:sz="0" w:space="0" w:color="auto"/>
            <w:bottom w:val="none" w:sz="0" w:space="0" w:color="auto"/>
            <w:right w:val="none" w:sz="0" w:space="0" w:color="auto"/>
          </w:divBdr>
        </w:div>
        <w:div w:id="542056253">
          <w:marLeft w:val="0"/>
          <w:marRight w:val="0"/>
          <w:marTop w:val="0"/>
          <w:marBottom w:val="0"/>
          <w:divBdr>
            <w:top w:val="none" w:sz="0" w:space="0" w:color="auto"/>
            <w:left w:val="none" w:sz="0" w:space="0" w:color="auto"/>
            <w:bottom w:val="none" w:sz="0" w:space="0" w:color="auto"/>
            <w:right w:val="none" w:sz="0" w:space="0" w:color="auto"/>
          </w:divBdr>
        </w:div>
        <w:div w:id="99568043">
          <w:marLeft w:val="0"/>
          <w:marRight w:val="0"/>
          <w:marTop w:val="0"/>
          <w:marBottom w:val="0"/>
          <w:divBdr>
            <w:top w:val="none" w:sz="0" w:space="0" w:color="auto"/>
            <w:left w:val="none" w:sz="0" w:space="0" w:color="auto"/>
            <w:bottom w:val="none" w:sz="0" w:space="0" w:color="auto"/>
            <w:right w:val="none" w:sz="0" w:space="0" w:color="auto"/>
          </w:divBdr>
        </w:div>
        <w:div w:id="1423263189">
          <w:marLeft w:val="0"/>
          <w:marRight w:val="0"/>
          <w:marTop w:val="0"/>
          <w:marBottom w:val="0"/>
          <w:divBdr>
            <w:top w:val="none" w:sz="0" w:space="0" w:color="auto"/>
            <w:left w:val="none" w:sz="0" w:space="0" w:color="auto"/>
            <w:bottom w:val="none" w:sz="0" w:space="0" w:color="auto"/>
            <w:right w:val="none" w:sz="0" w:space="0" w:color="auto"/>
          </w:divBdr>
        </w:div>
        <w:div w:id="570702747">
          <w:marLeft w:val="0"/>
          <w:marRight w:val="0"/>
          <w:marTop w:val="0"/>
          <w:marBottom w:val="0"/>
          <w:divBdr>
            <w:top w:val="none" w:sz="0" w:space="0" w:color="auto"/>
            <w:left w:val="none" w:sz="0" w:space="0" w:color="auto"/>
            <w:bottom w:val="none" w:sz="0" w:space="0" w:color="auto"/>
            <w:right w:val="none" w:sz="0" w:space="0" w:color="auto"/>
          </w:divBdr>
        </w:div>
        <w:div w:id="1154181836">
          <w:marLeft w:val="0"/>
          <w:marRight w:val="0"/>
          <w:marTop w:val="0"/>
          <w:marBottom w:val="0"/>
          <w:divBdr>
            <w:top w:val="none" w:sz="0" w:space="0" w:color="auto"/>
            <w:left w:val="none" w:sz="0" w:space="0" w:color="auto"/>
            <w:bottom w:val="none" w:sz="0" w:space="0" w:color="auto"/>
            <w:right w:val="none" w:sz="0" w:space="0" w:color="auto"/>
          </w:divBdr>
        </w:div>
      </w:divsChild>
    </w:div>
    <w:div w:id="1160582064">
      <w:bodyDiv w:val="1"/>
      <w:marLeft w:val="0"/>
      <w:marRight w:val="0"/>
      <w:marTop w:val="0"/>
      <w:marBottom w:val="0"/>
      <w:divBdr>
        <w:top w:val="none" w:sz="0" w:space="0" w:color="auto"/>
        <w:left w:val="none" w:sz="0" w:space="0" w:color="auto"/>
        <w:bottom w:val="none" w:sz="0" w:space="0" w:color="auto"/>
        <w:right w:val="none" w:sz="0" w:space="0" w:color="auto"/>
      </w:divBdr>
    </w:div>
    <w:div w:id="118944487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8316457">
      <w:bodyDiv w:val="1"/>
      <w:marLeft w:val="0"/>
      <w:marRight w:val="0"/>
      <w:marTop w:val="0"/>
      <w:marBottom w:val="0"/>
      <w:divBdr>
        <w:top w:val="none" w:sz="0" w:space="0" w:color="auto"/>
        <w:left w:val="none" w:sz="0" w:space="0" w:color="auto"/>
        <w:bottom w:val="none" w:sz="0" w:space="0" w:color="auto"/>
        <w:right w:val="none" w:sz="0" w:space="0" w:color="auto"/>
      </w:divBdr>
    </w:div>
    <w:div w:id="1348025691">
      <w:bodyDiv w:val="1"/>
      <w:marLeft w:val="0"/>
      <w:marRight w:val="0"/>
      <w:marTop w:val="0"/>
      <w:marBottom w:val="0"/>
      <w:divBdr>
        <w:top w:val="none" w:sz="0" w:space="0" w:color="auto"/>
        <w:left w:val="none" w:sz="0" w:space="0" w:color="auto"/>
        <w:bottom w:val="none" w:sz="0" w:space="0" w:color="auto"/>
        <w:right w:val="none" w:sz="0" w:space="0" w:color="auto"/>
      </w:divBdr>
    </w:div>
    <w:div w:id="1349408349">
      <w:bodyDiv w:val="1"/>
      <w:marLeft w:val="0"/>
      <w:marRight w:val="0"/>
      <w:marTop w:val="0"/>
      <w:marBottom w:val="0"/>
      <w:divBdr>
        <w:top w:val="none" w:sz="0" w:space="0" w:color="auto"/>
        <w:left w:val="none" w:sz="0" w:space="0" w:color="auto"/>
        <w:bottom w:val="none" w:sz="0" w:space="0" w:color="auto"/>
        <w:right w:val="none" w:sz="0" w:space="0" w:color="auto"/>
      </w:divBdr>
    </w:div>
    <w:div w:id="1363046976">
      <w:bodyDiv w:val="1"/>
      <w:marLeft w:val="0"/>
      <w:marRight w:val="0"/>
      <w:marTop w:val="0"/>
      <w:marBottom w:val="0"/>
      <w:divBdr>
        <w:top w:val="none" w:sz="0" w:space="0" w:color="auto"/>
        <w:left w:val="none" w:sz="0" w:space="0" w:color="auto"/>
        <w:bottom w:val="none" w:sz="0" w:space="0" w:color="auto"/>
        <w:right w:val="none" w:sz="0" w:space="0" w:color="auto"/>
      </w:divBdr>
      <w:divsChild>
        <w:div w:id="685792365">
          <w:marLeft w:val="0"/>
          <w:marRight w:val="0"/>
          <w:marTop w:val="0"/>
          <w:marBottom w:val="0"/>
          <w:divBdr>
            <w:top w:val="none" w:sz="0" w:space="0" w:color="auto"/>
            <w:left w:val="none" w:sz="0" w:space="0" w:color="auto"/>
            <w:bottom w:val="none" w:sz="0" w:space="0" w:color="auto"/>
            <w:right w:val="none" w:sz="0" w:space="0" w:color="auto"/>
          </w:divBdr>
        </w:div>
        <w:div w:id="1868175602">
          <w:marLeft w:val="0"/>
          <w:marRight w:val="0"/>
          <w:marTop w:val="0"/>
          <w:marBottom w:val="0"/>
          <w:divBdr>
            <w:top w:val="none" w:sz="0" w:space="0" w:color="auto"/>
            <w:left w:val="none" w:sz="0" w:space="0" w:color="auto"/>
            <w:bottom w:val="none" w:sz="0" w:space="0" w:color="auto"/>
            <w:right w:val="none" w:sz="0" w:space="0" w:color="auto"/>
          </w:divBdr>
        </w:div>
        <w:div w:id="2029981606">
          <w:marLeft w:val="0"/>
          <w:marRight w:val="0"/>
          <w:marTop w:val="0"/>
          <w:marBottom w:val="0"/>
          <w:divBdr>
            <w:top w:val="none" w:sz="0" w:space="0" w:color="auto"/>
            <w:left w:val="none" w:sz="0" w:space="0" w:color="auto"/>
            <w:bottom w:val="none" w:sz="0" w:space="0" w:color="auto"/>
            <w:right w:val="none" w:sz="0" w:space="0" w:color="auto"/>
          </w:divBdr>
        </w:div>
      </w:divsChild>
    </w:div>
    <w:div w:id="1369601535">
      <w:bodyDiv w:val="1"/>
      <w:marLeft w:val="0"/>
      <w:marRight w:val="0"/>
      <w:marTop w:val="0"/>
      <w:marBottom w:val="0"/>
      <w:divBdr>
        <w:top w:val="none" w:sz="0" w:space="0" w:color="auto"/>
        <w:left w:val="none" w:sz="0" w:space="0" w:color="auto"/>
        <w:bottom w:val="none" w:sz="0" w:space="0" w:color="auto"/>
        <w:right w:val="none" w:sz="0" w:space="0" w:color="auto"/>
      </w:divBdr>
    </w:div>
    <w:div w:id="1380980476">
      <w:bodyDiv w:val="1"/>
      <w:marLeft w:val="0"/>
      <w:marRight w:val="0"/>
      <w:marTop w:val="0"/>
      <w:marBottom w:val="0"/>
      <w:divBdr>
        <w:top w:val="none" w:sz="0" w:space="0" w:color="auto"/>
        <w:left w:val="none" w:sz="0" w:space="0" w:color="auto"/>
        <w:bottom w:val="none" w:sz="0" w:space="0" w:color="auto"/>
        <w:right w:val="none" w:sz="0" w:space="0" w:color="auto"/>
      </w:divBdr>
    </w:div>
    <w:div w:id="1409377906">
      <w:bodyDiv w:val="1"/>
      <w:marLeft w:val="0"/>
      <w:marRight w:val="0"/>
      <w:marTop w:val="0"/>
      <w:marBottom w:val="0"/>
      <w:divBdr>
        <w:top w:val="none" w:sz="0" w:space="0" w:color="auto"/>
        <w:left w:val="none" w:sz="0" w:space="0" w:color="auto"/>
        <w:bottom w:val="none" w:sz="0" w:space="0" w:color="auto"/>
        <w:right w:val="none" w:sz="0" w:space="0" w:color="auto"/>
      </w:divBdr>
    </w:div>
    <w:div w:id="1410543585">
      <w:bodyDiv w:val="1"/>
      <w:marLeft w:val="0"/>
      <w:marRight w:val="0"/>
      <w:marTop w:val="0"/>
      <w:marBottom w:val="0"/>
      <w:divBdr>
        <w:top w:val="none" w:sz="0" w:space="0" w:color="auto"/>
        <w:left w:val="none" w:sz="0" w:space="0" w:color="auto"/>
        <w:bottom w:val="none" w:sz="0" w:space="0" w:color="auto"/>
        <w:right w:val="none" w:sz="0" w:space="0" w:color="auto"/>
      </w:divBdr>
    </w:div>
    <w:div w:id="1423526607">
      <w:bodyDiv w:val="1"/>
      <w:marLeft w:val="0"/>
      <w:marRight w:val="0"/>
      <w:marTop w:val="0"/>
      <w:marBottom w:val="0"/>
      <w:divBdr>
        <w:top w:val="none" w:sz="0" w:space="0" w:color="auto"/>
        <w:left w:val="none" w:sz="0" w:space="0" w:color="auto"/>
        <w:bottom w:val="none" w:sz="0" w:space="0" w:color="auto"/>
        <w:right w:val="none" w:sz="0" w:space="0" w:color="auto"/>
      </w:divBdr>
      <w:divsChild>
        <w:div w:id="1113861600">
          <w:marLeft w:val="0"/>
          <w:marRight w:val="0"/>
          <w:marTop w:val="0"/>
          <w:marBottom w:val="0"/>
          <w:divBdr>
            <w:top w:val="none" w:sz="0" w:space="0" w:color="auto"/>
            <w:left w:val="none" w:sz="0" w:space="0" w:color="auto"/>
            <w:bottom w:val="none" w:sz="0" w:space="0" w:color="auto"/>
            <w:right w:val="none" w:sz="0" w:space="0" w:color="auto"/>
          </w:divBdr>
        </w:div>
        <w:div w:id="77290771">
          <w:marLeft w:val="0"/>
          <w:marRight w:val="0"/>
          <w:marTop w:val="0"/>
          <w:marBottom w:val="0"/>
          <w:divBdr>
            <w:top w:val="none" w:sz="0" w:space="0" w:color="auto"/>
            <w:left w:val="none" w:sz="0" w:space="0" w:color="auto"/>
            <w:bottom w:val="none" w:sz="0" w:space="0" w:color="auto"/>
            <w:right w:val="none" w:sz="0" w:space="0" w:color="auto"/>
          </w:divBdr>
        </w:div>
        <w:div w:id="900285997">
          <w:marLeft w:val="0"/>
          <w:marRight w:val="0"/>
          <w:marTop w:val="0"/>
          <w:marBottom w:val="0"/>
          <w:divBdr>
            <w:top w:val="none" w:sz="0" w:space="0" w:color="auto"/>
            <w:left w:val="none" w:sz="0" w:space="0" w:color="auto"/>
            <w:bottom w:val="none" w:sz="0" w:space="0" w:color="auto"/>
            <w:right w:val="none" w:sz="0" w:space="0" w:color="auto"/>
          </w:divBdr>
        </w:div>
        <w:div w:id="1454247219">
          <w:marLeft w:val="0"/>
          <w:marRight w:val="0"/>
          <w:marTop w:val="0"/>
          <w:marBottom w:val="0"/>
          <w:divBdr>
            <w:top w:val="none" w:sz="0" w:space="0" w:color="auto"/>
            <w:left w:val="none" w:sz="0" w:space="0" w:color="auto"/>
            <w:bottom w:val="none" w:sz="0" w:space="0" w:color="auto"/>
            <w:right w:val="none" w:sz="0" w:space="0" w:color="auto"/>
          </w:divBdr>
        </w:div>
        <w:div w:id="1483883502">
          <w:marLeft w:val="0"/>
          <w:marRight w:val="0"/>
          <w:marTop w:val="0"/>
          <w:marBottom w:val="0"/>
          <w:divBdr>
            <w:top w:val="none" w:sz="0" w:space="0" w:color="auto"/>
            <w:left w:val="none" w:sz="0" w:space="0" w:color="auto"/>
            <w:bottom w:val="none" w:sz="0" w:space="0" w:color="auto"/>
            <w:right w:val="none" w:sz="0" w:space="0" w:color="auto"/>
          </w:divBdr>
        </w:div>
        <w:div w:id="664744541">
          <w:marLeft w:val="0"/>
          <w:marRight w:val="0"/>
          <w:marTop w:val="0"/>
          <w:marBottom w:val="0"/>
          <w:divBdr>
            <w:top w:val="none" w:sz="0" w:space="0" w:color="auto"/>
            <w:left w:val="none" w:sz="0" w:space="0" w:color="auto"/>
            <w:bottom w:val="none" w:sz="0" w:space="0" w:color="auto"/>
            <w:right w:val="none" w:sz="0" w:space="0" w:color="auto"/>
          </w:divBdr>
        </w:div>
        <w:div w:id="502011257">
          <w:marLeft w:val="0"/>
          <w:marRight w:val="0"/>
          <w:marTop w:val="0"/>
          <w:marBottom w:val="0"/>
          <w:divBdr>
            <w:top w:val="none" w:sz="0" w:space="0" w:color="auto"/>
            <w:left w:val="none" w:sz="0" w:space="0" w:color="auto"/>
            <w:bottom w:val="none" w:sz="0" w:space="0" w:color="auto"/>
            <w:right w:val="none" w:sz="0" w:space="0" w:color="auto"/>
          </w:divBdr>
        </w:div>
        <w:div w:id="1442382959">
          <w:marLeft w:val="0"/>
          <w:marRight w:val="0"/>
          <w:marTop w:val="0"/>
          <w:marBottom w:val="0"/>
          <w:divBdr>
            <w:top w:val="none" w:sz="0" w:space="0" w:color="auto"/>
            <w:left w:val="none" w:sz="0" w:space="0" w:color="auto"/>
            <w:bottom w:val="none" w:sz="0" w:space="0" w:color="auto"/>
            <w:right w:val="none" w:sz="0" w:space="0" w:color="auto"/>
          </w:divBdr>
        </w:div>
        <w:div w:id="890656842">
          <w:marLeft w:val="0"/>
          <w:marRight w:val="0"/>
          <w:marTop w:val="0"/>
          <w:marBottom w:val="0"/>
          <w:divBdr>
            <w:top w:val="none" w:sz="0" w:space="0" w:color="auto"/>
            <w:left w:val="none" w:sz="0" w:space="0" w:color="auto"/>
            <w:bottom w:val="none" w:sz="0" w:space="0" w:color="auto"/>
            <w:right w:val="none" w:sz="0" w:space="0" w:color="auto"/>
          </w:divBdr>
        </w:div>
        <w:div w:id="712467697">
          <w:marLeft w:val="0"/>
          <w:marRight w:val="0"/>
          <w:marTop w:val="0"/>
          <w:marBottom w:val="0"/>
          <w:divBdr>
            <w:top w:val="none" w:sz="0" w:space="0" w:color="auto"/>
            <w:left w:val="none" w:sz="0" w:space="0" w:color="auto"/>
            <w:bottom w:val="none" w:sz="0" w:space="0" w:color="auto"/>
            <w:right w:val="none" w:sz="0" w:space="0" w:color="auto"/>
          </w:divBdr>
        </w:div>
        <w:div w:id="564295373">
          <w:marLeft w:val="0"/>
          <w:marRight w:val="0"/>
          <w:marTop w:val="0"/>
          <w:marBottom w:val="0"/>
          <w:divBdr>
            <w:top w:val="none" w:sz="0" w:space="0" w:color="auto"/>
            <w:left w:val="none" w:sz="0" w:space="0" w:color="auto"/>
            <w:bottom w:val="none" w:sz="0" w:space="0" w:color="auto"/>
            <w:right w:val="none" w:sz="0" w:space="0" w:color="auto"/>
          </w:divBdr>
        </w:div>
        <w:div w:id="1201094580">
          <w:marLeft w:val="0"/>
          <w:marRight w:val="0"/>
          <w:marTop w:val="0"/>
          <w:marBottom w:val="0"/>
          <w:divBdr>
            <w:top w:val="none" w:sz="0" w:space="0" w:color="auto"/>
            <w:left w:val="none" w:sz="0" w:space="0" w:color="auto"/>
            <w:bottom w:val="none" w:sz="0" w:space="0" w:color="auto"/>
            <w:right w:val="none" w:sz="0" w:space="0" w:color="auto"/>
          </w:divBdr>
        </w:div>
        <w:div w:id="2026711071">
          <w:marLeft w:val="0"/>
          <w:marRight w:val="0"/>
          <w:marTop w:val="0"/>
          <w:marBottom w:val="0"/>
          <w:divBdr>
            <w:top w:val="none" w:sz="0" w:space="0" w:color="auto"/>
            <w:left w:val="none" w:sz="0" w:space="0" w:color="auto"/>
            <w:bottom w:val="none" w:sz="0" w:space="0" w:color="auto"/>
            <w:right w:val="none" w:sz="0" w:space="0" w:color="auto"/>
          </w:divBdr>
        </w:div>
        <w:div w:id="1126391800">
          <w:marLeft w:val="0"/>
          <w:marRight w:val="0"/>
          <w:marTop w:val="0"/>
          <w:marBottom w:val="0"/>
          <w:divBdr>
            <w:top w:val="none" w:sz="0" w:space="0" w:color="auto"/>
            <w:left w:val="none" w:sz="0" w:space="0" w:color="auto"/>
            <w:bottom w:val="none" w:sz="0" w:space="0" w:color="auto"/>
            <w:right w:val="none" w:sz="0" w:space="0" w:color="auto"/>
          </w:divBdr>
        </w:div>
        <w:div w:id="1649823054">
          <w:marLeft w:val="0"/>
          <w:marRight w:val="0"/>
          <w:marTop w:val="0"/>
          <w:marBottom w:val="0"/>
          <w:divBdr>
            <w:top w:val="none" w:sz="0" w:space="0" w:color="auto"/>
            <w:left w:val="none" w:sz="0" w:space="0" w:color="auto"/>
            <w:bottom w:val="none" w:sz="0" w:space="0" w:color="auto"/>
            <w:right w:val="none" w:sz="0" w:space="0" w:color="auto"/>
          </w:divBdr>
        </w:div>
      </w:divsChild>
    </w:div>
    <w:div w:id="1493449172">
      <w:bodyDiv w:val="1"/>
      <w:marLeft w:val="0"/>
      <w:marRight w:val="0"/>
      <w:marTop w:val="0"/>
      <w:marBottom w:val="0"/>
      <w:divBdr>
        <w:top w:val="none" w:sz="0" w:space="0" w:color="auto"/>
        <w:left w:val="none" w:sz="0" w:space="0" w:color="auto"/>
        <w:bottom w:val="none" w:sz="0" w:space="0" w:color="auto"/>
        <w:right w:val="none" w:sz="0" w:space="0" w:color="auto"/>
      </w:divBdr>
    </w:div>
    <w:div w:id="1561986982">
      <w:bodyDiv w:val="1"/>
      <w:marLeft w:val="0"/>
      <w:marRight w:val="0"/>
      <w:marTop w:val="0"/>
      <w:marBottom w:val="0"/>
      <w:divBdr>
        <w:top w:val="none" w:sz="0" w:space="0" w:color="auto"/>
        <w:left w:val="none" w:sz="0" w:space="0" w:color="auto"/>
        <w:bottom w:val="none" w:sz="0" w:space="0" w:color="auto"/>
        <w:right w:val="none" w:sz="0" w:space="0" w:color="auto"/>
      </w:divBdr>
    </w:div>
    <w:div w:id="1562255543">
      <w:bodyDiv w:val="1"/>
      <w:marLeft w:val="0"/>
      <w:marRight w:val="0"/>
      <w:marTop w:val="0"/>
      <w:marBottom w:val="0"/>
      <w:divBdr>
        <w:top w:val="none" w:sz="0" w:space="0" w:color="auto"/>
        <w:left w:val="none" w:sz="0" w:space="0" w:color="auto"/>
        <w:bottom w:val="none" w:sz="0" w:space="0" w:color="auto"/>
        <w:right w:val="none" w:sz="0" w:space="0" w:color="auto"/>
      </w:divBdr>
    </w:div>
    <w:div w:id="1674335658">
      <w:bodyDiv w:val="1"/>
      <w:marLeft w:val="0"/>
      <w:marRight w:val="0"/>
      <w:marTop w:val="0"/>
      <w:marBottom w:val="0"/>
      <w:divBdr>
        <w:top w:val="none" w:sz="0" w:space="0" w:color="auto"/>
        <w:left w:val="none" w:sz="0" w:space="0" w:color="auto"/>
        <w:bottom w:val="none" w:sz="0" w:space="0" w:color="auto"/>
        <w:right w:val="none" w:sz="0" w:space="0" w:color="auto"/>
      </w:divBdr>
    </w:div>
    <w:div w:id="1777410288">
      <w:bodyDiv w:val="1"/>
      <w:marLeft w:val="0"/>
      <w:marRight w:val="0"/>
      <w:marTop w:val="0"/>
      <w:marBottom w:val="0"/>
      <w:divBdr>
        <w:top w:val="none" w:sz="0" w:space="0" w:color="auto"/>
        <w:left w:val="none" w:sz="0" w:space="0" w:color="auto"/>
        <w:bottom w:val="none" w:sz="0" w:space="0" w:color="auto"/>
        <w:right w:val="none" w:sz="0" w:space="0" w:color="auto"/>
      </w:divBdr>
    </w:div>
    <w:div w:id="1780375128">
      <w:bodyDiv w:val="1"/>
      <w:marLeft w:val="0"/>
      <w:marRight w:val="0"/>
      <w:marTop w:val="0"/>
      <w:marBottom w:val="0"/>
      <w:divBdr>
        <w:top w:val="none" w:sz="0" w:space="0" w:color="auto"/>
        <w:left w:val="none" w:sz="0" w:space="0" w:color="auto"/>
        <w:bottom w:val="none" w:sz="0" w:space="0" w:color="auto"/>
        <w:right w:val="none" w:sz="0" w:space="0" w:color="auto"/>
      </w:divBdr>
      <w:divsChild>
        <w:div w:id="319772243">
          <w:marLeft w:val="0"/>
          <w:marRight w:val="0"/>
          <w:marTop w:val="0"/>
          <w:marBottom w:val="0"/>
          <w:divBdr>
            <w:top w:val="none" w:sz="0" w:space="0" w:color="auto"/>
            <w:left w:val="none" w:sz="0" w:space="0" w:color="auto"/>
            <w:bottom w:val="none" w:sz="0" w:space="0" w:color="auto"/>
            <w:right w:val="none" w:sz="0" w:space="0" w:color="auto"/>
          </w:divBdr>
        </w:div>
        <w:div w:id="1028801089">
          <w:marLeft w:val="0"/>
          <w:marRight w:val="0"/>
          <w:marTop w:val="0"/>
          <w:marBottom w:val="0"/>
          <w:divBdr>
            <w:top w:val="none" w:sz="0" w:space="0" w:color="auto"/>
            <w:left w:val="none" w:sz="0" w:space="0" w:color="auto"/>
            <w:bottom w:val="none" w:sz="0" w:space="0" w:color="auto"/>
            <w:right w:val="none" w:sz="0" w:space="0" w:color="auto"/>
          </w:divBdr>
        </w:div>
        <w:div w:id="1295134006">
          <w:marLeft w:val="0"/>
          <w:marRight w:val="0"/>
          <w:marTop w:val="0"/>
          <w:marBottom w:val="0"/>
          <w:divBdr>
            <w:top w:val="none" w:sz="0" w:space="0" w:color="auto"/>
            <w:left w:val="none" w:sz="0" w:space="0" w:color="auto"/>
            <w:bottom w:val="none" w:sz="0" w:space="0" w:color="auto"/>
            <w:right w:val="none" w:sz="0" w:space="0" w:color="auto"/>
          </w:divBdr>
        </w:div>
        <w:div w:id="2128699177">
          <w:marLeft w:val="0"/>
          <w:marRight w:val="0"/>
          <w:marTop w:val="0"/>
          <w:marBottom w:val="0"/>
          <w:divBdr>
            <w:top w:val="none" w:sz="0" w:space="0" w:color="auto"/>
            <w:left w:val="none" w:sz="0" w:space="0" w:color="auto"/>
            <w:bottom w:val="none" w:sz="0" w:space="0" w:color="auto"/>
            <w:right w:val="none" w:sz="0" w:space="0" w:color="auto"/>
          </w:divBdr>
        </w:div>
        <w:div w:id="1110583781">
          <w:marLeft w:val="0"/>
          <w:marRight w:val="0"/>
          <w:marTop w:val="0"/>
          <w:marBottom w:val="0"/>
          <w:divBdr>
            <w:top w:val="none" w:sz="0" w:space="0" w:color="auto"/>
            <w:left w:val="none" w:sz="0" w:space="0" w:color="auto"/>
            <w:bottom w:val="none" w:sz="0" w:space="0" w:color="auto"/>
            <w:right w:val="none" w:sz="0" w:space="0" w:color="auto"/>
          </w:divBdr>
        </w:div>
        <w:div w:id="1513297473">
          <w:marLeft w:val="0"/>
          <w:marRight w:val="0"/>
          <w:marTop w:val="0"/>
          <w:marBottom w:val="0"/>
          <w:divBdr>
            <w:top w:val="none" w:sz="0" w:space="0" w:color="auto"/>
            <w:left w:val="none" w:sz="0" w:space="0" w:color="auto"/>
            <w:bottom w:val="none" w:sz="0" w:space="0" w:color="auto"/>
            <w:right w:val="none" w:sz="0" w:space="0" w:color="auto"/>
          </w:divBdr>
        </w:div>
        <w:div w:id="974873875">
          <w:marLeft w:val="0"/>
          <w:marRight w:val="0"/>
          <w:marTop w:val="0"/>
          <w:marBottom w:val="0"/>
          <w:divBdr>
            <w:top w:val="none" w:sz="0" w:space="0" w:color="auto"/>
            <w:left w:val="none" w:sz="0" w:space="0" w:color="auto"/>
            <w:bottom w:val="none" w:sz="0" w:space="0" w:color="auto"/>
            <w:right w:val="none" w:sz="0" w:space="0" w:color="auto"/>
          </w:divBdr>
        </w:div>
        <w:div w:id="700596668">
          <w:marLeft w:val="0"/>
          <w:marRight w:val="0"/>
          <w:marTop w:val="0"/>
          <w:marBottom w:val="0"/>
          <w:divBdr>
            <w:top w:val="none" w:sz="0" w:space="0" w:color="auto"/>
            <w:left w:val="none" w:sz="0" w:space="0" w:color="auto"/>
            <w:bottom w:val="none" w:sz="0" w:space="0" w:color="auto"/>
            <w:right w:val="none" w:sz="0" w:space="0" w:color="auto"/>
          </w:divBdr>
        </w:div>
        <w:div w:id="1996685487">
          <w:marLeft w:val="0"/>
          <w:marRight w:val="0"/>
          <w:marTop w:val="0"/>
          <w:marBottom w:val="0"/>
          <w:divBdr>
            <w:top w:val="none" w:sz="0" w:space="0" w:color="auto"/>
            <w:left w:val="none" w:sz="0" w:space="0" w:color="auto"/>
            <w:bottom w:val="none" w:sz="0" w:space="0" w:color="auto"/>
            <w:right w:val="none" w:sz="0" w:space="0" w:color="auto"/>
          </w:divBdr>
        </w:div>
        <w:div w:id="813566963">
          <w:marLeft w:val="0"/>
          <w:marRight w:val="0"/>
          <w:marTop w:val="0"/>
          <w:marBottom w:val="0"/>
          <w:divBdr>
            <w:top w:val="none" w:sz="0" w:space="0" w:color="auto"/>
            <w:left w:val="none" w:sz="0" w:space="0" w:color="auto"/>
            <w:bottom w:val="none" w:sz="0" w:space="0" w:color="auto"/>
            <w:right w:val="none" w:sz="0" w:space="0" w:color="auto"/>
          </w:divBdr>
        </w:div>
        <w:div w:id="1091662896">
          <w:marLeft w:val="0"/>
          <w:marRight w:val="0"/>
          <w:marTop w:val="0"/>
          <w:marBottom w:val="0"/>
          <w:divBdr>
            <w:top w:val="none" w:sz="0" w:space="0" w:color="auto"/>
            <w:left w:val="none" w:sz="0" w:space="0" w:color="auto"/>
            <w:bottom w:val="none" w:sz="0" w:space="0" w:color="auto"/>
            <w:right w:val="none" w:sz="0" w:space="0" w:color="auto"/>
          </w:divBdr>
        </w:div>
        <w:div w:id="244534068">
          <w:marLeft w:val="0"/>
          <w:marRight w:val="0"/>
          <w:marTop w:val="0"/>
          <w:marBottom w:val="0"/>
          <w:divBdr>
            <w:top w:val="none" w:sz="0" w:space="0" w:color="auto"/>
            <w:left w:val="none" w:sz="0" w:space="0" w:color="auto"/>
            <w:bottom w:val="none" w:sz="0" w:space="0" w:color="auto"/>
            <w:right w:val="none" w:sz="0" w:space="0" w:color="auto"/>
          </w:divBdr>
        </w:div>
        <w:div w:id="477499755">
          <w:marLeft w:val="0"/>
          <w:marRight w:val="0"/>
          <w:marTop w:val="0"/>
          <w:marBottom w:val="0"/>
          <w:divBdr>
            <w:top w:val="none" w:sz="0" w:space="0" w:color="auto"/>
            <w:left w:val="none" w:sz="0" w:space="0" w:color="auto"/>
            <w:bottom w:val="none" w:sz="0" w:space="0" w:color="auto"/>
            <w:right w:val="none" w:sz="0" w:space="0" w:color="auto"/>
          </w:divBdr>
        </w:div>
        <w:div w:id="1123622505">
          <w:marLeft w:val="0"/>
          <w:marRight w:val="0"/>
          <w:marTop w:val="0"/>
          <w:marBottom w:val="0"/>
          <w:divBdr>
            <w:top w:val="none" w:sz="0" w:space="0" w:color="auto"/>
            <w:left w:val="none" w:sz="0" w:space="0" w:color="auto"/>
            <w:bottom w:val="none" w:sz="0" w:space="0" w:color="auto"/>
            <w:right w:val="none" w:sz="0" w:space="0" w:color="auto"/>
          </w:divBdr>
        </w:div>
        <w:div w:id="677273252">
          <w:marLeft w:val="0"/>
          <w:marRight w:val="0"/>
          <w:marTop w:val="0"/>
          <w:marBottom w:val="0"/>
          <w:divBdr>
            <w:top w:val="none" w:sz="0" w:space="0" w:color="auto"/>
            <w:left w:val="none" w:sz="0" w:space="0" w:color="auto"/>
            <w:bottom w:val="none" w:sz="0" w:space="0" w:color="auto"/>
            <w:right w:val="none" w:sz="0" w:space="0" w:color="auto"/>
          </w:divBdr>
        </w:div>
      </w:divsChild>
    </w:div>
    <w:div w:id="1792287251">
      <w:bodyDiv w:val="1"/>
      <w:marLeft w:val="0"/>
      <w:marRight w:val="0"/>
      <w:marTop w:val="0"/>
      <w:marBottom w:val="0"/>
      <w:divBdr>
        <w:top w:val="none" w:sz="0" w:space="0" w:color="auto"/>
        <w:left w:val="none" w:sz="0" w:space="0" w:color="auto"/>
        <w:bottom w:val="none" w:sz="0" w:space="0" w:color="auto"/>
        <w:right w:val="none" w:sz="0" w:space="0" w:color="auto"/>
      </w:divBdr>
    </w:div>
    <w:div w:id="1847746145">
      <w:bodyDiv w:val="1"/>
      <w:marLeft w:val="0"/>
      <w:marRight w:val="0"/>
      <w:marTop w:val="0"/>
      <w:marBottom w:val="0"/>
      <w:divBdr>
        <w:top w:val="none" w:sz="0" w:space="0" w:color="auto"/>
        <w:left w:val="none" w:sz="0" w:space="0" w:color="auto"/>
        <w:bottom w:val="none" w:sz="0" w:space="0" w:color="auto"/>
        <w:right w:val="none" w:sz="0" w:space="0" w:color="auto"/>
      </w:divBdr>
    </w:div>
    <w:div w:id="1939755107">
      <w:bodyDiv w:val="1"/>
      <w:marLeft w:val="0"/>
      <w:marRight w:val="0"/>
      <w:marTop w:val="0"/>
      <w:marBottom w:val="0"/>
      <w:divBdr>
        <w:top w:val="none" w:sz="0" w:space="0" w:color="auto"/>
        <w:left w:val="none" w:sz="0" w:space="0" w:color="auto"/>
        <w:bottom w:val="none" w:sz="0" w:space="0" w:color="auto"/>
        <w:right w:val="none" w:sz="0" w:space="0" w:color="auto"/>
      </w:divBdr>
    </w:div>
    <w:div w:id="2024089911">
      <w:bodyDiv w:val="1"/>
      <w:marLeft w:val="0"/>
      <w:marRight w:val="0"/>
      <w:marTop w:val="0"/>
      <w:marBottom w:val="0"/>
      <w:divBdr>
        <w:top w:val="none" w:sz="0" w:space="0" w:color="auto"/>
        <w:left w:val="none" w:sz="0" w:space="0" w:color="auto"/>
        <w:bottom w:val="none" w:sz="0" w:space="0" w:color="auto"/>
        <w:right w:val="none" w:sz="0" w:space="0" w:color="auto"/>
      </w:divBdr>
    </w:div>
    <w:div w:id="208221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617</TotalTime>
  <Pages>3</Pages>
  <Words>1031</Words>
  <Characters>5880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Vinay Joseph</dc:creator>
  <cp:lastModifiedBy>rapporteur (Qualcomm)</cp:lastModifiedBy>
  <cp:revision>460</cp:revision>
  <cp:lastPrinted>2019-09-11T21:27:00Z</cp:lastPrinted>
  <dcterms:created xsi:type="dcterms:W3CDTF">2019-09-11T16:13:00Z</dcterms:created>
  <dcterms:modified xsi:type="dcterms:W3CDTF">2019-11-07T23:55:00Z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y fmtid="{D5CDD505-2E9C-101B-9397-08002B2CF9AE}" pid="4" name="_NewReviewCycle">
    <vt:lpwstr/>
  </property>
  <property fmtid="{D5CDD505-2E9C-101B-9397-08002B2CF9AE}" pid="5" name="_AdHocReviewCycleID">
    <vt:i4>2139048750</vt:i4>
  </property>
  <property fmtid="{D5CDD505-2E9C-101B-9397-08002B2CF9AE}" pid="6" name="_EmailSubject">
    <vt:lpwstr>edited doc</vt:lpwstr>
  </property>
  <property fmtid="{D5CDD505-2E9C-101B-9397-08002B2CF9AE}" pid="7" name="_AuthorEmail">
    <vt:lpwstr>rprakash@qti.qualcomm.com</vt:lpwstr>
  </property>
  <property fmtid="{D5CDD505-2E9C-101B-9397-08002B2CF9AE}" pid="8" name="_AuthorEmailDisplayName">
    <vt:lpwstr>Rajat Prakash</vt:lpwstr>
  </property>
  <property fmtid="{D5CDD505-2E9C-101B-9397-08002B2CF9AE}" pid="9" name="_ReviewingToolsShownOnce">
    <vt:lpwstr/>
  </property>
</Properties>
</file>